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cs="仿宋"/>
          <w:sz w:val="32"/>
          <w:szCs w:val="32"/>
        </w:rPr>
      </w:pPr>
    </w:p>
    <w:p>
      <w:pPr>
        <w:ind w:firstLine="643"/>
        <w:jc w:val="left"/>
        <w:rPr>
          <w:rFonts w:ascii="仿宋" w:hAnsi="仿宋" w:cs="仿宋"/>
          <w:b/>
          <w:sz w:val="32"/>
          <w:szCs w:val="32"/>
        </w:rPr>
      </w:pPr>
    </w:p>
    <w:p>
      <w:pPr>
        <w:ind w:firstLine="0" w:firstLineChars="0"/>
        <w:jc w:val="center"/>
        <w:rPr>
          <w:rFonts w:ascii="仿宋" w:hAnsi="仿宋" w:cs="仿宋"/>
          <w:b/>
          <w:sz w:val="54"/>
          <w:szCs w:val="54"/>
        </w:rPr>
      </w:pPr>
      <w:r>
        <w:rPr>
          <w:rFonts w:hint="eastAsia" w:ascii="仿宋" w:hAnsi="仿宋" w:cs="仿宋"/>
          <w:b/>
          <w:sz w:val="54"/>
          <w:szCs w:val="54"/>
        </w:rPr>
        <w:t>学位授权点建设年度报告</w:t>
      </w:r>
    </w:p>
    <w:p>
      <w:pPr>
        <w:ind w:firstLine="0" w:firstLineChars="0"/>
        <w:jc w:val="center"/>
        <w:rPr>
          <w:rFonts w:ascii="仿宋" w:hAnsi="仿宋" w:cs="仿宋"/>
          <w:b/>
          <w:sz w:val="54"/>
          <w:szCs w:val="54"/>
        </w:rPr>
      </w:pPr>
      <w:r>
        <w:rPr>
          <w:rFonts w:hint="eastAsia" w:ascii="仿宋" w:hAnsi="仿宋" w:cs="仿宋"/>
          <w:b/>
          <w:sz w:val="54"/>
          <w:szCs w:val="54"/>
        </w:rPr>
        <w:t>（2021年）</w:t>
      </w:r>
    </w:p>
    <w:p>
      <w:pPr>
        <w:ind w:firstLine="643"/>
        <w:jc w:val="center"/>
        <w:rPr>
          <w:rFonts w:ascii="仿宋" w:hAnsi="仿宋" w:cs="仿宋"/>
          <w:b/>
          <w:sz w:val="32"/>
          <w:szCs w:val="32"/>
        </w:rPr>
      </w:pPr>
    </w:p>
    <w:p>
      <w:pPr>
        <w:pStyle w:val="2"/>
        <w:ind w:firstLine="600"/>
      </w:pPr>
    </w:p>
    <w:tbl>
      <w:tblPr>
        <w:tblStyle w:val="21"/>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200" w:lineRule="atLeast"/>
              <w:ind w:firstLine="0" w:firstLineChars="0"/>
              <w:jc w:val="distribute"/>
              <w:rPr>
                <w:rFonts w:ascii="Times New Roman" w:hAnsi="Times New Roman" w:eastAsia="楷体_GB2312"/>
                <w:b/>
                <w:szCs w:val="30"/>
              </w:rPr>
            </w:pPr>
            <w:r>
              <w:rPr>
                <w:rFonts w:ascii="Times New Roman" w:hAnsi="Times New Roman" w:eastAsia="楷体_GB2312"/>
                <w:b/>
                <w:szCs w:val="30"/>
              </w:rPr>
              <w:t>学位授予单位</w:t>
            </w:r>
          </w:p>
        </w:tc>
        <w:tc>
          <w:tcPr>
            <w:tcW w:w="2880" w:type="dxa"/>
            <w:tcBorders>
              <w:bottom w:val="single" w:color="auto" w:sz="4" w:space="0"/>
            </w:tcBorders>
            <w:vAlign w:val="center"/>
          </w:tcPr>
          <w:p>
            <w:pPr>
              <w:ind w:firstLine="602"/>
              <w:rPr>
                <w:rFonts w:ascii="Times New Roman" w:hAnsi="Times New Roman" w:eastAsia="楷体_GB2312"/>
                <w:b/>
                <w:szCs w:val="30"/>
              </w:rPr>
            </w:pPr>
            <w:r>
              <w:rPr>
                <w:rFonts w:ascii="Times New Roman" w:hAnsi="Times New Roman" w:eastAsia="楷体_GB2312"/>
                <w:b/>
                <w:szCs w:val="30"/>
              </w:rPr>
              <w:t>名称：</w:t>
            </w:r>
            <w:r>
              <w:rPr>
                <w:rFonts w:hint="eastAsia" w:ascii="Times New Roman" w:hAnsi="Times New Roman" w:eastAsia="楷体_GB2312"/>
                <w:b/>
                <w:szCs w:val="30"/>
              </w:rPr>
              <w:t>贵州大学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ind w:firstLine="602"/>
              <w:jc w:val="center"/>
              <w:rPr>
                <w:rFonts w:ascii="Times New Roman" w:hAnsi="Times New Roman" w:eastAsia="楷体_GB2312"/>
                <w:b/>
                <w:szCs w:val="30"/>
              </w:rPr>
            </w:pPr>
          </w:p>
        </w:tc>
        <w:tc>
          <w:tcPr>
            <w:tcW w:w="2880" w:type="dxa"/>
            <w:tcBorders>
              <w:top w:val="single" w:color="auto" w:sz="4" w:space="0"/>
            </w:tcBorders>
            <w:vAlign w:val="center"/>
          </w:tcPr>
          <w:p>
            <w:pPr>
              <w:ind w:firstLine="602"/>
              <w:rPr>
                <w:rFonts w:ascii="Times New Roman" w:hAnsi="Times New Roman" w:eastAsia="楷体_GB2312"/>
                <w:b/>
                <w:szCs w:val="30"/>
              </w:rPr>
            </w:pPr>
            <w:r>
              <w:rPr>
                <w:rFonts w:ascii="Times New Roman" w:hAnsi="Times New Roman" w:eastAsia="楷体_GB2312"/>
                <w:b/>
                <w:szCs w:val="30"/>
              </w:rPr>
              <w:t>代码：</w:t>
            </w:r>
            <w:r>
              <w:rPr>
                <w:rFonts w:hint="eastAsia" w:ascii="Times New Roman" w:hAnsi="Times New Roman" w:eastAsia="楷体_GB2312"/>
                <w:b/>
                <w:szCs w:val="30"/>
              </w:rPr>
              <w:t>10657</w:t>
            </w:r>
          </w:p>
        </w:tc>
      </w:tr>
    </w:tbl>
    <w:p>
      <w:pPr>
        <w:ind w:firstLine="600"/>
      </w:pPr>
    </w:p>
    <w:p>
      <w:pPr>
        <w:pStyle w:val="2"/>
        <w:ind w:firstLine="600"/>
      </w:pPr>
    </w:p>
    <w:tbl>
      <w:tblPr>
        <w:tblStyle w:val="21"/>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ind w:firstLine="0" w:firstLineChars="0"/>
              <w:jc w:val="distribute"/>
              <w:rPr>
                <w:rFonts w:ascii="楷体_GB2312" w:hAnsi="楷体_GB2312" w:eastAsia="楷体_GB2312" w:cs="楷体_GB2312"/>
                <w:b/>
                <w:bCs/>
                <w:szCs w:val="30"/>
              </w:rPr>
            </w:pPr>
            <w:r>
              <w:rPr>
                <w:rFonts w:hint="eastAsia" w:ascii="楷体_GB2312" w:hAnsi="楷体_GB2312" w:eastAsia="楷体_GB2312" w:cs="楷体_GB2312"/>
                <w:b/>
                <w:bCs/>
                <w:szCs w:val="30"/>
              </w:rPr>
              <w:t>授权学科</w:t>
            </w:r>
          </w:p>
          <w:p>
            <w:pPr>
              <w:ind w:firstLine="0" w:firstLineChars="0"/>
              <w:jc w:val="distribute"/>
              <w:rPr>
                <w:rFonts w:eastAsia="楷体_GB2312"/>
              </w:rPr>
            </w:pPr>
            <w:r>
              <w:rPr>
                <w:rFonts w:hint="eastAsia" w:ascii="楷体_GB2312" w:hAnsi="楷体_GB2312" w:eastAsia="楷体_GB2312" w:cs="楷体_GB2312"/>
                <w:b/>
                <w:bCs/>
                <w:szCs w:val="30"/>
              </w:rPr>
              <w:t>（类别）</w:t>
            </w:r>
          </w:p>
        </w:tc>
        <w:tc>
          <w:tcPr>
            <w:tcW w:w="2880" w:type="dxa"/>
            <w:tcBorders>
              <w:bottom w:val="single" w:color="auto" w:sz="4" w:space="0"/>
            </w:tcBorders>
            <w:vAlign w:val="center"/>
          </w:tcPr>
          <w:p>
            <w:pPr>
              <w:ind w:firstLine="602"/>
              <w:rPr>
                <w:rFonts w:ascii="Times New Roman" w:hAnsi="Times New Roman" w:eastAsia="楷体_GB2312"/>
                <w:b/>
                <w:szCs w:val="30"/>
              </w:rPr>
            </w:pPr>
            <w:r>
              <w:rPr>
                <w:rFonts w:ascii="Times New Roman" w:hAnsi="Times New Roman" w:eastAsia="楷体_GB2312"/>
                <w:b/>
                <w:szCs w:val="30"/>
              </w:rPr>
              <w:t>名称：</w:t>
            </w:r>
            <w:r>
              <w:rPr>
                <w:rFonts w:hint="eastAsia" w:ascii="Times New Roman" w:hAnsi="Times New Roman" w:eastAsia="楷体_GB2312"/>
                <w:b/>
                <w:szCs w:val="30"/>
              </w:rPr>
              <w:t>美术</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ind w:firstLine="602"/>
              <w:jc w:val="center"/>
              <w:rPr>
                <w:rFonts w:ascii="Times New Roman" w:hAnsi="Times New Roman" w:eastAsia="楷体_GB2312"/>
                <w:b/>
                <w:szCs w:val="30"/>
              </w:rPr>
            </w:pPr>
          </w:p>
        </w:tc>
        <w:tc>
          <w:tcPr>
            <w:tcW w:w="2880" w:type="dxa"/>
            <w:tcBorders>
              <w:top w:val="single" w:color="auto" w:sz="4" w:space="0"/>
            </w:tcBorders>
            <w:vAlign w:val="center"/>
          </w:tcPr>
          <w:p>
            <w:pPr>
              <w:ind w:firstLine="602"/>
              <w:rPr>
                <w:rFonts w:ascii="Times New Roman" w:hAnsi="Times New Roman" w:eastAsia="楷体_GB2312"/>
                <w:b/>
                <w:szCs w:val="30"/>
              </w:rPr>
            </w:pPr>
            <w:r>
              <w:rPr>
                <w:rFonts w:ascii="Times New Roman" w:hAnsi="Times New Roman" w:eastAsia="楷体_GB2312"/>
                <w:b/>
                <w:szCs w:val="30"/>
              </w:rPr>
              <w:t>代码：135107</w:t>
            </w:r>
          </w:p>
        </w:tc>
      </w:tr>
    </w:tbl>
    <w:p>
      <w:pPr>
        <w:spacing w:line="720" w:lineRule="auto"/>
        <w:ind w:firstLine="602"/>
        <w:jc w:val="center"/>
        <w:rPr>
          <w:rFonts w:ascii="Times New Roman" w:hAnsi="Times New Roman" w:eastAsia="楷体_GB2312"/>
          <w:b/>
          <w:szCs w:val="30"/>
        </w:rPr>
      </w:pPr>
    </w:p>
    <w:tbl>
      <w:tblPr>
        <w:tblStyle w:val="21"/>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ind w:firstLine="0" w:firstLineChars="0"/>
              <w:jc w:val="distribute"/>
              <w:rPr>
                <w:rFonts w:ascii="Times New Roman" w:hAnsi="Times New Roman" w:eastAsia="楷体_GB2312"/>
                <w:b/>
                <w:szCs w:val="30"/>
              </w:rPr>
            </w:pPr>
            <w:r>
              <w:rPr>
                <w:rFonts w:ascii="Times New Roman" w:hAnsi="Times New Roman" w:eastAsia="楷体_GB2312"/>
                <w:b/>
                <w:szCs w:val="30"/>
              </w:rPr>
              <w:t>授权级别</w:t>
            </w:r>
          </w:p>
        </w:tc>
        <w:tc>
          <w:tcPr>
            <w:tcW w:w="2880" w:type="dxa"/>
            <w:tcBorders>
              <w:bottom w:val="single" w:color="auto" w:sz="4" w:space="0"/>
            </w:tcBorders>
            <w:vAlign w:val="center"/>
          </w:tcPr>
          <w:p>
            <w:pPr>
              <w:ind w:firstLine="602"/>
              <w:rPr>
                <w:rFonts w:ascii="Times New Roman" w:hAnsi="Times New Roman" w:eastAsia="楷体_GB2312"/>
                <w:b/>
                <w:szCs w:val="30"/>
              </w:rPr>
            </w:pPr>
            <w:r>
              <w:rPr>
                <w:rFonts w:ascii="Times New Roman" w:hAnsi="Times New Roman" w:eastAsia="楷体_GB2312"/>
                <w:b/>
                <w:szCs w:val="30"/>
              </w:rPr>
              <w:t>□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ind w:firstLine="602"/>
              <w:jc w:val="center"/>
              <w:rPr>
                <w:rFonts w:ascii="Times New Roman" w:hAnsi="Times New Roman" w:eastAsia="楷体_GB2312"/>
                <w:b/>
                <w:szCs w:val="30"/>
              </w:rPr>
            </w:pPr>
          </w:p>
        </w:tc>
        <w:tc>
          <w:tcPr>
            <w:tcW w:w="2880" w:type="dxa"/>
            <w:tcBorders>
              <w:top w:val="single" w:color="auto" w:sz="4" w:space="0"/>
            </w:tcBorders>
            <w:vAlign w:val="center"/>
          </w:tcPr>
          <w:p>
            <w:pPr>
              <w:ind w:firstLine="602"/>
              <w:rPr>
                <w:rFonts w:ascii="Times New Roman" w:hAnsi="Times New Roman" w:eastAsia="楷体_GB2312"/>
                <w:b/>
                <w:szCs w:val="30"/>
              </w:rPr>
            </w:pPr>
            <w:r>
              <w:rPr>
                <w:rFonts w:ascii="Times New Roman" w:hAnsi="Times New Roman" w:eastAsia="楷体_GB2312"/>
                <w:b/>
                <w:szCs w:val="30"/>
              </w:rPr>
              <w:sym w:font="Wingdings 2" w:char="0052"/>
            </w:r>
            <w:r>
              <w:rPr>
                <w:rFonts w:ascii="Times New Roman" w:hAnsi="Times New Roman" w:eastAsia="楷体_GB2312"/>
                <w:b/>
                <w:szCs w:val="30"/>
              </w:rPr>
              <w:t xml:space="preserve">  硕  士</w:t>
            </w:r>
          </w:p>
        </w:tc>
      </w:tr>
    </w:tbl>
    <w:p>
      <w:pPr>
        <w:ind w:firstLine="643"/>
        <w:jc w:val="center"/>
        <w:rPr>
          <w:rFonts w:ascii="仿宋" w:hAnsi="仿宋" w:cs="仿宋"/>
          <w:b/>
          <w:sz w:val="32"/>
          <w:szCs w:val="32"/>
        </w:rPr>
      </w:pPr>
    </w:p>
    <w:p>
      <w:pPr>
        <w:ind w:firstLine="643"/>
        <w:jc w:val="center"/>
        <w:rPr>
          <w:rFonts w:ascii="仿宋" w:hAnsi="仿宋" w:cs="仿宋"/>
          <w:b/>
          <w:sz w:val="32"/>
          <w:szCs w:val="32"/>
        </w:rPr>
      </w:pPr>
    </w:p>
    <w:p>
      <w:pPr>
        <w:ind w:firstLine="0" w:firstLineChars="0"/>
        <w:jc w:val="center"/>
        <w:rPr>
          <w:rFonts w:ascii="仿宋" w:hAnsi="仿宋" w:cs="仿宋"/>
          <w:b/>
          <w:spacing w:val="102"/>
          <w:sz w:val="32"/>
          <w:szCs w:val="32"/>
        </w:rPr>
      </w:pPr>
      <w:r>
        <w:rPr>
          <w:rFonts w:hint="eastAsia" w:ascii="仿宋" w:hAnsi="仿宋" w:cs="仿宋"/>
          <w:b/>
          <w:spacing w:val="102"/>
          <w:sz w:val="32"/>
          <w:szCs w:val="32"/>
        </w:rPr>
        <w:t>贵州大学</w:t>
      </w:r>
    </w:p>
    <w:p>
      <w:pPr>
        <w:ind w:firstLine="0" w:firstLineChars="0"/>
        <w:jc w:val="center"/>
        <w:rPr>
          <w:rFonts w:ascii="仿宋" w:hAnsi="仿宋" w:cs="仿宋"/>
          <w:b/>
          <w:szCs w:val="32"/>
        </w:rPr>
      </w:pPr>
      <w:r>
        <w:rPr>
          <w:rFonts w:hint="eastAsia" w:ascii="仿宋" w:hAnsi="仿宋" w:cs="仿宋"/>
          <w:b/>
          <w:szCs w:val="32"/>
        </w:rPr>
        <w:t>2022年3月</w:t>
      </w:r>
      <w:r>
        <w:rPr>
          <w:rFonts w:hint="eastAsia" w:ascii="仿宋" w:hAnsi="仿宋" w:cs="仿宋"/>
          <w:b/>
          <w:szCs w:val="32"/>
        </w:rPr>
        <w:br w:type="page"/>
      </w:r>
      <w:r>
        <w:rPr>
          <w:rFonts w:hint="eastAsia" w:ascii="仿宋" w:hAnsi="仿宋" w:cs="仿宋"/>
          <w:b/>
          <w:szCs w:val="32"/>
        </w:rPr>
        <w:t>编 写 说 明</w:t>
      </w:r>
    </w:p>
    <w:p>
      <w:pPr>
        <w:spacing w:line="360" w:lineRule="auto"/>
        <w:ind w:firstLine="600"/>
        <w:rPr>
          <w:rFonts w:ascii="仿宋" w:hAnsi="仿宋" w:cs="仿宋"/>
          <w:bCs/>
          <w:szCs w:val="32"/>
        </w:rPr>
      </w:pPr>
      <w:r>
        <w:rPr>
          <w:rFonts w:hint="eastAsia" w:ascii="仿宋" w:hAnsi="仿宋" w:cs="仿宋"/>
          <w:bCs/>
          <w:szCs w:val="32"/>
        </w:rPr>
        <w:t>一、本报告按自然年（1月1日-12月31日）编写。</w:t>
      </w:r>
    </w:p>
    <w:p>
      <w:pPr>
        <w:spacing w:line="360" w:lineRule="auto"/>
        <w:ind w:firstLine="600"/>
        <w:rPr>
          <w:rFonts w:ascii="仿宋" w:hAnsi="仿宋" w:cs="仿宋"/>
          <w:bCs/>
          <w:szCs w:val="32"/>
        </w:rPr>
      </w:pPr>
      <w:r>
        <w:rPr>
          <w:rFonts w:hint="eastAsia" w:ascii="仿宋" w:hAnsi="仿宋" w:cs="仿宋"/>
          <w:bCs/>
          <w:szCs w:val="32"/>
        </w:rPr>
        <w:t>二、授权学科（类别）名称、代码和级别按《贵州大学2020-2025周期性合格评估参评学位授权点列表》填写。</w:t>
      </w:r>
    </w:p>
    <w:p>
      <w:pPr>
        <w:spacing w:line="360" w:lineRule="auto"/>
        <w:ind w:firstLine="600"/>
      </w:pPr>
      <w:r>
        <w:rPr>
          <w:rFonts w:hint="eastAsia" w:ascii="仿宋" w:hAnsi="仿宋" w:cs="仿宋"/>
          <w:bCs/>
          <w:szCs w:val="32"/>
        </w:rPr>
        <w:t>三、各授权点请参考《学位授权点抽评要素》列出的主要内容逐项进行编写，重点体现年度建设总体情况。</w:t>
      </w:r>
    </w:p>
    <w:p>
      <w:pPr>
        <w:spacing w:line="360" w:lineRule="auto"/>
        <w:ind w:firstLine="600"/>
        <w:rPr>
          <w:rFonts w:ascii="仿宋" w:hAnsi="仿宋" w:cs="仿宋"/>
          <w:bCs/>
          <w:szCs w:val="32"/>
        </w:rPr>
      </w:pPr>
      <w:r>
        <w:rPr>
          <w:rFonts w:hint="eastAsia" w:ascii="仿宋" w:hAnsi="仿宋" w:cs="仿宋"/>
          <w:bCs/>
          <w:szCs w:val="32"/>
        </w:rPr>
        <w:t>四、涉及国家机密的内容一律按国家有关保密规定进行脱密处理后编写。</w:t>
      </w:r>
    </w:p>
    <w:p>
      <w:pPr>
        <w:spacing w:line="360" w:lineRule="auto"/>
        <w:ind w:firstLine="600"/>
        <w:rPr>
          <w:rFonts w:ascii="仿宋" w:hAnsi="仿宋" w:cs="仿宋"/>
          <w:bCs/>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720" w:num="1"/>
          <w:titlePg/>
          <w:docGrid w:type="lines" w:linePitch="312" w:charSpace="0"/>
        </w:sectPr>
      </w:pPr>
      <w:r>
        <w:rPr>
          <w:rFonts w:hint="eastAsia" w:ascii="仿宋" w:hAnsi="仿宋" w:cs="仿宋"/>
          <w:bCs/>
          <w:szCs w:val="32"/>
        </w:rPr>
        <w:t>五、本报告正文使用小三号仿宋字体， 建议不超过3000字，纸张A4。</w:t>
      </w:r>
    </w:p>
    <w:p>
      <w:pPr>
        <w:spacing w:line="360" w:lineRule="auto"/>
        <w:ind w:firstLine="600"/>
        <w:rPr>
          <w:rFonts w:ascii="黑体" w:hAnsi="黑体" w:eastAsia="黑体" w:cs="黑体"/>
          <w:bCs/>
          <w:szCs w:val="30"/>
        </w:rPr>
      </w:pPr>
      <w:r>
        <w:rPr>
          <w:rFonts w:hint="eastAsia" w:ascii="黑体" w:hAnsi="黑体" w:eastAsia="黑体" w:cs="黑体"/>
          <w:bCs/>
          <w:szCs w:val="30"/>
        </w:rPr>
        <w:t>一、学位授权点基本情况</w:t>
      </w:r>
    </w:p>
    <w:p>
      <w:pPr>
        <w:spacing w:line="360" w:lineRule="auto"/>
        <w:ind w:firstLine="600"/>
        <w:rPr>
          <w:rFonts w:ascii="仿宋" w:hAnsi="仿宋" w:cs="仿宋"/>
          <w:szCs w:val="30"/>
        </w:rPr>
      </w:pPr>
      <w:r>
        <w:rPr>
          <w:rFonts w:hint="eastAsia" w:ascii="仿宋" w:hAnsi="仿宋" w:cs="仿宋"/>
          <w:szCs w:val="30"/>
        </w:rPr>
        <w:t>（一）基本情况</w:t>
      </w:r>
    </w:p>
    <w:p>
      <w:pPr>
        <w:ind w:firstLine="600"/>
      </w:pPr>
      <w:r>
        <w:rPr>
          <w:rFonts w:hint="eastAsia" w:ascii="仿宋" w:hAnsi="仿宋" w:cs="仿宋"/>
          <w:szCs w:val="30"/>
        </w:rPr>
        <w:t>贵州大学美术教育始于上个世纪5</w:t>
      </w:r>
      <w:r>
        <w:rPr>
          <w:rFonts w:ascii="仿宋" w:hAnsi="仿宋" w:cs="仿宋"/>
          <w:szCs w:val="30"/>
        </w:rPr>
        <w:t>0</w:t>
      </w:r>
      <w:r>
        <w:rPr>
          <w:rFonts w:hint="eastAsia" w:ascii="仿宋" w:hAnsi="仿宋" w:cs="仿宋"/>
          <w:szCs w:val="30"/>
        </w:rPr>
        <w:t>年代的贵州大学艺术系</w:t>
      </w:r>
      <w:r>
        <w:rPr>
          <w:rFonts w:ascii="仿宋" w:hAnsi="仿宋" w:cs="仿宋"/>
          <w:szCs w:val="30"/>
        </w:rPr>
        <w:t>，</w:t>
      </w:r>
      <w:r>
        <w:rPr>
          <w:rFonts w:hint="eastAsia" w:ascii="仿宋" w:hAnsi="仿宋" w:cs="仿宋"/>
          <w:szCs w:val="30"/>
        </w:rPr>
        <w:t>后历经贵州省艺术学校</w:t>
      </w:r>
      <w:r>
        <w:rPr>
          <w:rFonts w:ascii="仿宋" w:hAnsi="仿宋" w:cs="仿宋"/>
          <w:szCs w:val="30"/>
        </w:rPr>
        <w:t>、</w:t>
      </w:r>
      <w:r>
        <w:rPr>
          <w:rFonts w:hint="eastAsia" w:ascii="仿宋" w:hAnsi="仿宋" w:cs="仿宋"/>
          <w:szCs w:val="30"/>
        </w:rPr>
        <w:t>贵州艺术高等专科学校、贵州大学艺术学院等不同历史时期，2</w:t>
      </w:r>
      <w:r>
        <w:rPr>
          <w:rFonts w:ascii="仿宋" w:hAnsi="仿宋" w:cs="仿宋"/>
          <w:szCs w:val="30"/>
        </w:rPr>
        <w:t>016</w:t>
      </w:r>
      <w:r>
        <w:rPr>
          <w:rFonts w:hint="eastAsia" w:ascii="仿宋" w:hAnsi="仿宋" w:cs="仿宋"/>
          <w:szCs w:val="30"/>
        </w:rPr>
        <w:t>年成立贵州大学美术学院。贵州大学于</w:t>
      </w:r>
      <w:r>
        <w:rPr>
          <w:rFonts w:ascii="仿宋" w:hAnsi="仿宋" w:cs="仿宋"/>
          <w:szCs w:val="30"/>
        </w:rPr>
        <w:t>2009</w:t>
      </w:r>
      <w:r>
        <w:rPr>
          <w:rFonts w:hint="eastAsia" w:ascii="仿宋" w:hAnsi="仿宋" w:cs="仿宋"/>
          <w:szCs w:val="30"/>
        </w:rPr>
        <w:t>年获批艺术硕士专业学位授权点</w:t>
      </w:r>
      <w:r>
        <w:rPr>
          <w:rFonts w:ascii="仿宋" w:hAnsi="仿宋" w:cs="仿宋"/>
          <w:szCs w:val="30"/>
        </w:rPr>
        <w:t>，2010</w:t>
      </w:r>
      <w:r>
        <w:rPr>
          <w:rFonts w:hint="eastAsia" w:ascii="仿宋" w:hAnsi="仿宋" w:cs="仿宋"/>
          <w:szCs w:val="30"/>
        </w:rPr>
        <w:t>年首批招生</w:t>
      </w:r>
      <w:r>
        <w:rPr>
          <w:rFonts w:ascii="仿宋" w:hAnsi="仿宋" w:cs="仿宋"/>
          <w:szCs w:val="30"/>
        </w:rPr>
        <w:t>，</w:t>
      </w:r>
      <w:r>
        <w:rPr>
          <w:rFonts w:hint="eastAsia" w:ascii="仿宋" w:hAnsi="仿宋" w:cs="仿宋"/>
          <w:szCs w:val="30"/>
        </w:rPr>
        <w:t>是贵州省内最早的艺术硕士培养单位</w:t>
      </w:r>
      <w:r>
        <w:rPr>
          <w:rFonts w:ascii="仿宋" w:hAnsi="仿宋" w:cs="仿宋"/>
          <w:szCs w:val="30"/>
        </w:rPr>
        <w:t>。</w:t>
      </w:r>
      <w:r>
        <w:rPr>
          <w:rFonts w:hint="eastAsia" w:ascii="仿宋" w:hAnsi="仿宋"/>
        </w:rPr>
        <w:t>本学位点</w:t>
      </w:r>
      <w:r>
        <w:rPr>
          <w:rFonts w:ascii="仿宋" w:hAnsi="仿宋"/>
        </w:rPr>
        <w:t>坚持“贵州顶尖</w:t>
      </w:r>
      <w:r>
        <w:rPr>
          <w:rFonts w:hint="eastAsia" w:ascii="仿宋" w:hAnsi="仿宋"/>
        </w:rPr>
        <w:t>、</w:t>
      </w:r>
      <w:r>
        <w:rPr>
          <w:rFonts w:ascii="仿宋" w:hAnsi="仿宋"/>
        </w:rPr>
        <w:t>西南一流、全国特色”的发展理念</w:t>
      </w:r>
      <w:r>
        <w:rPr>
          <w:rFonts w:hint="eastAsia" w:ascii="Cambria Math" w:hAnsi="Cambria Math" w:cs="Cambria Math"/>
        </w:rPr>
        <w:t>，</w:t>
      </w:r>
      <w:r>
        <w:rPr>
          <w:rFonts w:ascii="仿宋" w:hAnsi="仿宋"/>
        </w:rPr>
        <w:t>积极构建基础</w:t>
      </w:r>
      <w:r>
        <w:rPr>
          <w:rFonts w:hint="eastAsia" w:ascii="仿宋" w:hAnsi="仿宋"/>
        </w:rPr>
        <w:t>理论</w:t>
      </w:r>
      <w:r>
        <w:rPr>
          <w:rFonts w:ascii="仿宋" w:hAnsi="仿宋"/>
        </w:rPr>
        <w:t>与</w:t>
      </w:r>
      <w:r>
        <w:rPr>
          <w:rFonts w:hint="eastAsia" w:ascii="仿宋" w:hAnsi="仿宋"/>
        </w:rPr>
        <w:t>实践能</w:t>
      </w:r>
      <w:r>
        <w:rPr>
          <w:rFonts w:ascii="仿宋" w:hAnsi="仿宋"/>
        </w:rPr>
        <w:t>力贯</w:t>
      </w:r>
      <w:r>
        <w:rPr>
          <w:rFonts w:hint="eastAsia" w:ascii="仿宋" w:hAnsi="仿宋"/>
        </w:rPr>
        <w:t>通，</w:t>
      </w:r>
      <w:r>
        <w:rPr>
          <w:rFonts w:ascii="仿宋" w:hAnsi="仿宋"/>
        </w:rPr>
        <w:t>传统与现代</w:t>
      </w:r>
      <w:r>
        <w:rPr>
          <w:rFonts w:hint="eastAsia" w:ascii="仿宋" w:hAnsi="仿宋"/>
        </w:rPr>
        <w:t>交融，</w:t>
      </w:r>
      <w:r>
        <w:rPr>
          <w:rFonts w:ascii="仿宋" w:hAnsi="仿宋"/>
        </w:rPr>
        <w:t>熟悉本专业及相关学科的发展动态</w:t>
      </w:r>
      <w:r>
        <w:rPr>
          <w:rFonts w:hint="eastAsia" w:ascii="仿宋" w:hAnsi="仿宋"/>
        </w:rPr>
        <w:t>，</w:t>
      </w:r>
      <w:r>
        <w:rPr>
          <w:rFonts w:ascii="仿宋" w:hAnsi="仿宋"/>
        </w:rPr>
        <w:t>以及具备良好的前沿</w:t>
      </w:r>
      <w:r>
        <w:rPr>
          <w:rFonts w:hint="eastAsia" w:ascii="仿宋" w:hAnsi="仿宋"/>
        </w:rPr>
        <w:t>意识</w:t>
      </w:r>
      <w:r>
        <w:rPr>
          <w:rFonts w:ascii="仿宋" w:hAnsi="仿宋"/>
        </w:rPr>
        <w:t>与创新精神的人才培养与</w:t>
      </w:r>
      <w:r>
        <w:rPr>
          <w:rFonts w:hint="eastAsia" w:ascii="仿宋" w:hAnsi="仿宋"/>
        </w:rPr>
        <w:t>美育</w:t>
      </w:r>
      <w:r>
        <w:rPr>
          <w:rFonts w:ascii="仿宋" w:hAnsi="仿宋"/>
        </w:rPr>
        <w:t>工作模式。</w:t>
      </w:r>
    </w:p>
    <w:p>
      <w:pPr>
        <w:ind w:firstLine="600"/>
      </w:pPr>
      <w:r>
        <w:rPr>
          <w:rFonts w:hint="eastAsia" w:cs="仿宋"/>
        </w:rPr>
        <w:t>（二）培养目标</w:t>
      </w:r>
    </w:p>
    <w:p>
      <w:pPr>
        <w:ind w:firstLine="600"/>
        <w:rPr>
          <w:rFonts w:ascii="仿宋" w:hAnsi="仿宋" w:cs="仿宋"/>
        </w:rPr>
      </w:pPr>
      <w:r>
        <w:rPr>
          <w:rFonts w:hint="eastAsia" w:ascii="仿宋" w:hAnsi="仿宋" w:cs="仿宋"/>
        </w:rPr>
        <w:t>本学位点坚持贯彻党的教育方针，落实立德树人根本任务，依托贵州民族文化、红色文化、“三线”文化资源。传承与发展贵州区域文化特色，为宣扬贵州精神、弘扬时代主旋律、传递中华正能量培养理论基础扎实、专业技能高超、政治素养过硬、具备家国情怀的高层次美术人才，以及文化事业与艺术产业方面所需的创作、教育、管理与策划等相关工作的高层次实践型专业人才。</w:t>
      </w:r>
    </w:p>
    <w:p>
      <w:pPr>
        <w:spacing w:line="360" w:lineRule="auto"/>
        <w:ind w:left="600" w:firstLine="0" w:firstLineChars="0"/>
        <w:rPr>
          <w:rFonts w:ascii="仿宋" w:hAnsi="仿宋" w:cs="仿宋"/>
          <w:szCs w:val="30"/>
        </w:rPr>
      </w:pPr>
      <w:r>
        <w:rPr>
          <w:rFonts w:hint="eastAsia" w:ascii="仿宋" w:hAnsi="仿宋" w:cs="仿宋"/>
          <w:szCs w:val="30"/>
        </w:rPr>
        <w:t>（三）培养方向</w:t>
      </w:r>
    </w:p>
    <w:p>
      <w:pPr>
        <w:ind w:firstLine="600"/>
        <w:rPr>
          <w:rFonts w:ascii="仿宋" w:hAnsi="仿宋" w:cs="仿宋"/>
          <w:szCs w:val="30"/>
        </w:rPr>
      </w:pPr>
      <w:r>
        <w:rPr>
          <w:rFonts w:hint="eastAsia" w:ascii="仿宋" w:hAnsi="仿宋" w:cs="仿宋"/>
          <w:szCs w:val="30"/>
        </w:rPr>
        <w:t>本学位点下设四个专业方向：中国画、油画、版画、雕塑。分四个专业方向制定培养方案：包括培养目标与学制、主学科方向、课程设置与培养环节、学位论文、毕业创作、毕业和学位授予条件、质量保障等。每三年集中修订一次。</w:t>
      </w:r>
    </w:p>
    <w:p>
      <w:pPr>
        <w:ind w:firstLine="600"/>
        <w:rPr>
          <w:rFonts w:ascii="仿宋" w:hAnsi="仿宋" w:cs="仿宋"/>
          <w:szCs w:val="30"/>
        </w:rPr>
      </w:pPr>
      <w:r>
        <w:rPr>
          <w:rFonts w:hint="eastAsia" w:ascii="仿宋" w:hAnsi="仿宋" w:cs="仿宋"/>
          <w:szCs w:val="30"/>
        </w:rPr>
        <w:t>（四）招生情况</w:t>
      </w:r>
    </w:p>
    <w:p>
      <w:pPr>
        <w:ind w:firstLine="600"/>
        <w:rPr>
          <w:rFonts w:ascii="仿宋" w:hAnsi="仿宋" w:cs="仿宋"/>
          <w:szCs w:val="30"/>
        </w:rPr>
      </w:pPr>
      <w:r>
        <w:rPr>
          <w:rFonts w:hint="eastAsia" w:ascii="仿宋" w:hAnsi="仿宋" w:cs="仿宋"/>
          <w:szCs w:val="30"/>
        </w:rPr>
        <w:t>本学位点2021年在校生共有203人，其中2019 级65人，2020级69人，2021级69人。2021级硕士研究生新生69人中中国画方向9人，油画方向16人，版画方向4人，雕塑方向2人。其中推免生5人，统考生</w:t>
      </w:r>
      <w:r>
        <w:rPr>
          <w:rFonts w:hint="eastAsia" w:ascii="仿宋" w:hAnsi="仿宋" w:cs="仿宋"/>
          <w:szCs w:val="30"/>
          <w:lang w:val="en-US" w:eastAsia="zh-CN"/>
        </w:rPr>
        <w:t>26</w:t>
      </w:r>
      <w:bookmarkStart w:id="0" w:name="_GoBack"/>
      <w:bookmarkEnd w:id="0"/>
      <w:r>
        <w:rPr>
          <w:rFonts w:hint="eastAsia" w:ascii="仿宋" w:hAnsi="仿宋" w:cs="仿宋"/>
          <w:szCs w:val="30"/>
        </w:rPr>
        <w:t>人；高水平大学和优势学科院校考生数量呈递增趋势，生源质量逐步提升，学缘结构不断优化。</w:t>
      </w:r>
    </w:p>
    <w:p>
      <w:pPr>
        <w:ind w:firstLine="600"/>
        <w:rPr>
          <w:rFonts w:ascii="仿宋" w:hAnsi="仿宋" w:cs="仿宋"/>
          <w:szCs w:val="30"/>
        </w:rPr>
      </w:pPr>
      <w:r>
        <w:rPr>
          <w:rFonts w:hint="eastAsia" w:ascii="仿宋" w:hAnsi="仿宋" w:cs="仿宋"/>
          <w:szCs w:val="30"/>
        </w:rPr>
        <w:t>（五）师资队伍</w:t>
      </w:r>
    </w:p>
    <w:p>
      <w:pPr>
        <w:ind w:firstLine="600"/>
        <w:rPr>
          <w:rFonts w:ascii="仿宋" w:hAnsi="仿宋" w:cs="仿宋"/>
          <w:szCs w:val="30"/>
        </w:rPr>
      </w:pPr>
      <w:r>
        <w:rPr>
          <w:rFonts w:hint="eastAsia" w:ascii="仿宋" w:hAnsi="仿宋" w:cs="仿宋"/>
          <w:szCs w:val="30"/>
        </w:rPr>
        <w:t>本学位点共拥有专任教师17人，其中教授8人，副教授9人，博士学位人数2人。其中，校内指导教师13人，校外指导教师4人。本学位点注重学术梯队建设，积极推进高层次人才队伍建设，汇聚业内专家与行业精英、美术馆馆长等建立联合导师组</w:t>
      </w:r>
      <w:r>
        <w:rPr>
          <w:rFonts w:hint="eastAsia" w:ascii="Cambria Math" w:hAnsi="Cambria Math" w:cs="Cambria Math"/>
          <w:szCs w:val="30"/>
        </w:rPr>
        <w:t>，</w:t>
      </w:r>
      <w:r>
        <w:rPr>
          <w:rFonts w:hint="eastAsia" w:ascii="仿宋" w:hAnsi="仿宋" w:cs="仿宋"/>
          <w:szCs w:val="30"/>
        </w:rPr>
        <w:t>其中含贵州省省管专家1人，贵州省美术馆馆长1人，贵州省美术家协会主席1人，贵州油画学会会长1人等。</w:t>
      </w:r>
    </w:p>
    <w:p>
      <w:pPr>
        <w:ind w:firstLine="600"/>
        <w:rPr>
          <w:rFonts w:ascii="仿宋" w:hAnsi="仿宋" w:cs="仿宋"/>
          <w:szCs w:val="30"/>
        </w:rPr>
      </w:pPr>
      <w:r>
        <w:rPr>
          <w:rFonts w:hint="eastAsia" w:ascii="仿宋" w:hAnsi="仿宋" w:cs="仿宋"/>
          <w:szCs w:val="30"/>
        </w:rPr>
        <w:t>（六）培养条件</w:t>
      </w:r>
    </w:p>
    <w:p>
      <w:pPr>
        <w:ind w:firstLine="600"/>
        <w:rPr>
          <w:rFonts w:ascii="仿宋" w:hAnsi="仿宋" w:cs="仿宋"/>
          <w:szCs w:val="30"/>
        </w:rPr>
      </w:pPr>
      <w:r>
        <w:rPr>
          <w:rFonts w:hint="eastAsia" w:ascii="仿宋" w:hAnsi="仿宋" w:cs="仿宋"/>
          <w:szCs w:val="30"/>
        </w:rPr>
        <w:t>1.生源质量稳居贵州同类专业首位，培养基础好、起点高。教师在业界拥有较强的学术声誉和影响力，近半数教师毕业于央美、国美、川美等知名院校，学术功底较扎实，在全国美展、全国艺术硕士美术指导教师优秀作品展等高水平展览中获奖，为高水平研究工作转化为专业学位研究生培养提供保障。</w:t>
      </w:r>
    </w:p>
    <w:p>
      <w:pPr>
        <w:widowControl/>
        <w:ind w:firstLine="600"/>
        <w:rPr>
          <w:rFonts w:ascii="仿宋" w:hAnsi="仿宋" w:cs="仿宋"/>
          <w:szCs w:val="30"/>
        </w:rPr>
      </w:pPr>
      <w:r>
        <w:rPr>
          <w:rFonts w:hint="eastAsia" w:ascii="仿宋" w:hAnsi="仿宋" w:cs="仿宋"/>
          <w:szCs w:val="30"/>
        </w:rPr>
        <w:t>2.发挥贵州唯一的“贵州省美术人才基地”“贵州美育实验基地”优势，进一步聚集办学资源；本专业收藏有数量可观的董希文、吕斯百、李可染、李苦禅等名家真迹，通过举办“贵州珍藏中国美术精品汇展”及藏画复制品临摹教学等形式走进师生视野，增强专业能力。</w:t>
      </w:r>
    </w:p>
    <w:p>
      <w:pPr>
        <w:widowControl/>
        <w:ind w:firstLine="600"/>
        <w:rPr>
          <w:rFonts w:ascii="仿宋" w:hAnsi="仿宋" w:cs="仿宋"/>
          <w:szCs w:val="30"/>
        </w:rPr>
      </w:pPr>
      <w:r>
        <w:rPr>
          <w:rFonts w:hint="eastAsia" w:ascii="仿宋" w:hAnsi="仿宋" w:cs="仿宋"/>
          <w:szCs w:val="30"/>
        </w:rPr>
        <w:t>3.依托现有办学空间，建成省内一流的油画、中国画赏析室逾400平方米、专业美术馆近3000平方米、造型艺术省级示范中心1个、专业实验室3个、校内外实习实践基地10余个。打造“名家名师工作室”“悦美讲习社”等教研团队，强化知名教授对中青年教师的传帮带和引领作用。</w:t>
      </w:r>
    </w:p>
    <w:p>
      <w:pPr>
        <w:widowControl/>
        <w:ind w:firstLine="600"/>
        <w:jc w:val="left"/>
      </w:pPr>
      <w:r>
        <w:rPr>
          <w:rFonts w:hint="eastAsia" w:ascii="仿宋" w:hAnsi="仿宋" w:cs="仿宋"/>
          <w:szCs w:val="30"/>
        </w:rPr>
        <w:t>4.在东盟教育周艺术展演、非洲青年使团学术交流、英国林肯大学、法国艺术家联盟的艺术交流，招收韩国、马来西亚、刚果等留学生，与台湾地区、澳门地区也进行艺术交流展和中国画课程展示。</w:t>
      </w:r>
      <w:r>
        <w:rPr>
          <w:rFonts w:ascii="宋体" w:hAnsi="宋体" w:eastAsia="宋体" w:cs="宋体"/>
          <w:sz w:val="24"/>
        </w:rPr>
        <w:t xml:space="preserve"> </w:t>
      </w:r>
    </w:p>
    <w:p>
      <w:pPr>
        <w:spacing w:line="360" w:lineRule="auto"/>
        <w:ind w:firstLine="600"/>
        <w:rPr>
          <w:rFonts w:ascii="黑体" w:hAnsi="黑体" w:eastAsia="黑体" w:cs="黑体"/>
          <w:bCs/>
          <w:szCs w:val="30"/>
        </w:rPr>
      </w:pPr>
      <w:r>
        <w:rPr>
          <w:rFonts w:hint="eastAsia" w:ascii="黑体" w:hAnsi="黑体" w:eastAsia="黑体" w:cs="黑体"/>
          <w:bCs/>
          <w:szCs w:val="30"/>
        </w:rPr>
        <w:t>二、学位授权点年度建设取得的成绩</w:t>
      </w:r>
    </w:p>
    <w:p>
      <w:pPr>
        <w:widowControl/>
        <w:ind w:firstLine="600"/>
        <w:jc w:val="left"/>
        <w:rPr>
          <w:rFonts w:ascii="仿宋" w:hAnsi="仿宋" w:cs="仿宋"/>
          <w:szCs w:val="30"/>
        </w:rPr>
      </w:pPr>
      <w:r>
        <w:rPr>
          <w:rFonts w:hint="eastAsia" w:ascii="仿宋" w:hAnsi="仿宋" w:cs="仿宋"/>
          <w:szCs w:val="30"/>
        </w:rPr>
        <w:t>(一)研究生党建与思想政治教育</w:t>
      </w:r>
      <w:r>
        <w:rPr>
          <w:rFonts w:ascii="仿宋" w:hAnsi="仿宋" w:cs="仿宋"/>
          <w:szCs w:val="30"/>
        </w:rPr>
        <w:t xml:space="preserve"> </w:t>
      </w:r>
    </w:p>
    <w:p>
      <w:pPr>
        <w:widowControl/>
        <w:ind w:firstLine="600"/>
        <w:rPr>
          <w:rFonts w:ascii="仿宋" w:hAnsi="仿宋" w:cs="仿宋"/>
          <w:szCs w:val="30"/>
        </w:rPr>
      </w:pPr>
      <w:r>
        <w:rPr>
          <w:rFonts w:hint="eastAsia" w:ascii="仿宋" w:hAnsi="仿宋" w:cs="仿宋"/>
          <w:szCs w:val="30"/>
        </w:rPr>
        <w:t>加强思政内容贯穿团学活动和艺术实践管理。发挥课堂教学主渠道和主阵地作用</w:t>
      </w:r>
      <w:r>
        <w:rPr>
          <w:rFonts w:ascii="仿宋" w:hAnsi="仿宋" w:cs="仿宋"/>
          <w:szCs w:val="30"/>
        </w:rPr>
        <w:t>，</w:t>
      </w:r>
      <w:r>
        <w:rPr>
          <w:rFonts w:hint="eastAsia" w:ascii="仿宋" w:hAnsi="仿宋" w:cs="仿宋"/>
          <w:szCs w:val="30"/>
        </w:rPr>
        <w:t>课堂教学融入思政内容，传达积极的信息和思想，充分发挥思政工作队伍、教师队伍和管理服务队伍的作用。配齐思政工作队伍</w:t>
      </w:r>
      <w:r>
        <w:rPr>
          <w:rFonts w:ascii="仿宋" w:hAnsi="仿宋" w:cs="仿宋"/>
          <w:szCs w:val="30"/>
        </w:rPr>
        <w:t>，</w:t>
      </w:r>
      <w:r>
        <w:rPr>
          <w:rFonts w:hint="eastAsia" w:ascii="仿宋" w:hAnsi="仿宋" w:cs="仿宋"/>
          <w:szCs w:val="30"/>
        </w:rPr>
        <w:t>加强师德师风建设</w:t>
      </w:r>
      <w:r>
        <w:rPr>
          <w:rFonts w:ascii="仿宋" w:hAnsi="仿宋" w:cs="仿宋"/>
          <w:szCs w:val="30"/>
        </w:rPr>
        <w:t>，</w:t>
      </w:r>
      <w:r>
        <w:rPr>
          <w:rFonts w:hint="eastAsia" w:ascii="仿宋" w:hAnsi="仿宋" w:cs="仿宋"/>
          <w:szCs w:val="30"/>
        </w:rPr>
        <w:t>发挥教师的教书育人和言传身教作用，推进思政课程和课程思政建设</w:t>
      </w:r>
      <w:r>
        <w:rPr>
          <w:rFonts w:ascii="仿宋" w:hAnsi="仿宋" w:cs="仿宋"/>
          <w:szCs w:val="30"/>
        </w:rPr>
        <w:t>。</w:t>
      </w:r>
      <w:r>
        <w:rPr>
          <w:rFonts w:hint="eastAsia" w:ascii="仿宋" w:hAnsi="仿宋" w:cs="仿宋"/>
          <w:szCs w:val="30"/>
        </w:rPr>
        <w:t>截止202</w:t>
      </w:r>
      <w:r>
        <w:rPr>
          <w:rFonts w:ascii="仿宋" w:hAnsi="仿宋" w:cs="仿宋"/>
          <w:szCs w:val="30"/>
        </w:rPr>
        <w:t>1</w:t>
      </w:r>
      <w:r>
        <w:rPr>
          <w:rFonts w:hint="eastAsia" w:ascii="仿宋" w:hAnsi="仿宋" w:cs="仿宋"/>
          <w:szCs w:val="30"/>
        </w:rPr>
        <w:t>年底</w:t>
      </w:r>
      <w:r>
        <w:rPr>
          <w:rFonts w:ascii="仿宋" w:hAnsi="仿宋" w:cs="仿宋"/>
          <w:szCs w:val="30"/>
        </w:rPr>
        <w:t>，</w:t>
      </w:r>
      <w:r>
        <w:rPr>
          <w:rFonts w:hint="eastAsia" w:ascii="仿宋" w:hAnsi="仿宋" w:cs="仿宋"/>
          <w:szCs w:val="30"/>
        </w:rPr>
        <w:t>美</w:t>
      </w:r>
      <w:r>
        <w:rPr>
          <w:rFonts w:hint="eastAsia" w:ascii="仿宋" w:hAnsi="仿宋" w:cs="仿宋"/>
          <w:color w:val="000000" w:themeColor="text1"/>
          <w:szCs w:val="30"/>
        </w:rPr>
        <w:t>术学院研究生党支部共有党员 28名</w:t>
      </w:r>
      <w:r>
        <w:rPr>
          <w:rFonts w:ascii="仿宋" w:hAnsi="仿宋" w:cs="仿宋"/>
          <w:color w:val="000000" w:themeColor="text1"/>
          <w:szCs w:val="30"/>
        </w:rPr>
        <w:t>，</w:t>
      </w:r>
      <w:r>
        <w:rPr>
          <w:rFonts w:hint="eastAsia" w:ascii="仿宋" w:hAnsi="仿宋" w:cs="仿宋"/>
          <w:color w:val="000000" w:themeColor="text1"/>
          <w:szCs w:val="30"/>
        </w:rPr>
        <w:t>其中正式党员16名</w:t>
      </w:r>
      <w:r>
        <w:rPr>
          <w:rFonts w:ascii="仿宋" w:hAnsi="仿宋" w:cs="仿宋"/>
          <w:color w:val="000000" w:themeColor="text1"/>
          <w:szCs w:val="30"/>
        </w:rPr>
        <w:t>，</w:t>
      </w:r>
      <w:r>
        <w:rPr>
          <w:rFonts w:hint="eastAsia" w:ascii="仿宋" w:hAnsi="仿宋" w:cs="仿宋"/>
          <w:color w:val="000000" w:themeColor="text1"/>
          <w:szCs w:val="30"/>
        </w:rPr>
        <w:t>预备党员12名</w:t>
      </w:r>
      <w:r>
        <w:rPr>
          <w:rFonts w:ascii="仿宋" w:hAnsi="仿宋" w:cs="仿宋"/>
          <w:color w:val="000000" w:themeColor="text1"/>
          <w:szCs w:val="30"/>
        </w:rPr>
        <w:t>，</w:t>
      </w:r>
      <w:r>
        <w:rPr>
          <w:rFonts w:hint="eastAsia" w:ascii="仿宋" w:hAnsi="仿宋" w:cs="仿宋"/>
          <w:color w:val="000000" w:themeColor="text1"/>
          <w:szCs w:val="30"/>
        </w:rPr>
        <w:t>入党积极分子13人。</w:t>
      </w:r>
    </w:p>
    <w:p>
      <w:pPr>
        <w:widowControl/>
        <w:ind w:firstLine="600"/>
        <w:jc w:val="left"/>
        <w:rPr>
          <w:rFonts w:ascii="仿宋" w:hAnsi="仿宋" w:cs="仿宋"/>
          <w:szCs w:val="30"/>
        </w:rPr>
      </w:pPr>
      <w:r>
        <w:rPr>
          <w:rFonts w:hint="eastAsia" w:ascii="仿宋" w:hAnsi="仿宋" w:cs="仿宋"/>
          <w:szCs w:val="30"/>
        </w:rPr>
        <w:t>（二）师资队伍建设</w:t>
      </w:r>
    </w:p>
    <w:p>
      <w:pPr>
        <w:widowControl/>
        <w:ind w:firstLine="600"/>
        <w:rPr>
          <w:rFonts w:ascii="仿宋" w:hAnsi="仿宋" w:cs="仿宋"/>
          <w:szCs w:val="30"/>
        </w:rPr>
      </w:pPr>
      <w:r>
        <w:rPr>
          <w:rFonts w:hint="eastAsia" w:ascii="仿宋" w:hAnsi="仿宋" w:cs="仿宋"/>
          <w:szCs w:val="30"/>
        </w:rPr>
        <w:t>为进一步加强研究生导师管理，压实导师“第一培养责任人”职责</w:t>
      </w:r>
      <w:r>
        <w:rPr>
          <w:rFonts w:ascii="仿宋" w:hAnsi="仿宋" w:cs="仿宋"/>
          <w:szCs w:val="30"/>
        </w:rPr>
        <w:t>，</w:t>
      </w:r>
      <w:r>
        <w:rPr>
          <w:rFonts w:hint="eastAsia" w:ascii="仿宋" w:hAnsi="仿宋" w:cs="仿宋"/>
          <w:szCs w:val="30"/>
        </w:rPr>
        <w:t>根据《贵州大学研究生导师岗位管理办法》结合学院研究生导师队伍现状，修订研究生导师岗位管理办法，制定了《贵州大学美术学院硕士研究生导师遴选管理办法》</w:t>
      </w:r>
      <w:r>
        <w:rPr>
          <w:rFonts w:ascii="仿宋" w:hAnsi="仿宋" w:cs="仿宋"/>
          <w:szCs w:val="30"/>
        </w:rPr>
        <w:t>，</w:t>
      </w:r>
      <w:r>
        <w:rPr>
          <w:rFonts w:hint="eastAsia" w:ascii="仿宋" w:hAnsi="仿宋" w:cs="仿宋"/>
          <w:szCs w:val="30"/>
        </w:rPr>
        <w:t>较好的规范了研究生导师管理，促进了队伍建设</w:t>
      </w:r>
      <w:r>
        <w:rPr>
          <w:rFonts w:ascii="仿宋" w:hAnsi="仿宋" w:cs="仿宋"/>
          <w:szCs w:val="30"/>
        </w:rPr>
        <w:t>。</w:t>
      </w:r>
      <w:r>
        <w:rPr>
          <w:rFonts w:hint="eastAsia" w:ascii="仿宋" w:hAnsi="仿宋" w:cs="仿宋"/>
          <w:szCs w:val="30"/>
        </w:rPr>
        <w:t>聘请业内知名专家</w:t>
      </w:r>
      <w:r>
        <w:rPr>
          <w:rFonts w:ascii="仿宋" w:hAnsi="仿宋" w:cs="仿宋"/>
          <w:szCs w:val="30"/>
        </w:rPr>
        <w:t>、</w:t>
      </w:r>
      <w:r>
        <w:rPr>
          <w:rFonts w:hint="eastAsia" w:ascii="仿宋" w:hAnsi="仿宋" w:cs="仿宋"/>
          <w:szCs w:val="30"/>
        </w:rPr>
        <w:t>学者担任本学位点的校外指导教师</w:t>
      </w:r>
      <w:r>
        <w:rPr>
          <w:rFonts w:ascii="仿宋" w:hAnsi="仿宋" w:cs="仿宋"/>
          <w:szCs w:val="30"/>
        </w:rPr>
        <w:t>，</w:t>
      </w:r>
      <w:r>
        <w:rPr>
          <w:rFonts w:hint="eastAsia" w:ascii="仿宋" w:hAnsi="仿宋" w:cs="仿宋"/>
          <w:szCs w:val="30"/>
        </w:rPr>
        <w:t>持续打造高水平科研创新平台</w:t>
      </w:r>
      <w:r>
        <w:rPr>
          <w:rFonts w:ascii="仿宋" w:hAnsi="仿宋" w:cs="仿宋"/>
          <w:szCs w:val="30"/>
        </w:rPr>
        <w:t>。</w:t>
      </w:r>
    </w:p>
    <w:p>
      <w:pPr>
        <w:widowControl/>
        <w:ind w:firstLine="600"/>
        <w:jc w:val="left"/>
        <w:rPr>
          <w:rFonts w:ascii="仿宋" w:hAnsi="仿宋" w:cs="仿宋"/>
          <w:szCs w:val="30"/>
        </w:rPr>
      </w:pPr>
      <w:r>
        <w:rPr>
          <w:rFonts w:ascii="仿宋" w:hAnsi="仿宋" w:cs="仿宋"/>
          <w:szCs w:val="30"/>
        </w:rPr>
        <w:t>（</w:t>
      </w:r>
      <w:r>
        <w:rPr>
          <w:rFonts w:hint="eastAsia" w:ascii="仿宋" w:hAnsi="仿宋" w:cs="仿宋"/>
          <w:szCs w:val="30"/>
        </w:rPr>
        <w:t>三</w:t>
      </w:r>
      <w:r>
        <w:rPr>
          <w:rFonts w:ascii="仿宋" w:hAnsi="仿宋" w:cs="仿宋"/>
          <w:szCs w:val="30"/>
        </w:rPr>
        <w:t>）</w:t>
      </w:r>
      <w:r>
        <w:rPr>
          <w:rFonts w:hint="eastAsia" w:ascii="仿宋" w:hAnsi="仿宋" w:cs="仿宋"/>
          <w:szCs w:val="30"/>
        </w:rPr>
        <w:t>制度建设</w:t>
      </w:r>
    </w:p>
    <w:p>
      <w:pPr>
        <w:widowControl/>
        <w:ind w:firstLine="600"/>
        <w:rPr>
          <w:rFonts w:ascii="仿宋" w:hAnsi="仿宋" w:cs="仿宋"/>
          <w:szCs w:val="30"/>
        </w:rPr>
      </w:pPr>
      <w:r>
        <w:rPr>
          <w:rFonts w:ascii="仿宋" w:hAnsi="仿宋" w:cs="仿宋"/>
          <w:szCs w:val="30"/>
        </w:rPr>
        <w:t>1</w:t>
      </w:r>
      <w:r>
        <w:rPr>
          <w:rFonts w:hint="eastAsia" w:ascii="仿宋" w:hAnsi="仿宋" w:cs="仿宋"/>
          <w:szCs w:val="30"/>
        </w:rPr>
        <w:t>.课程教学</w:t>
      </w:r>
      <w:r>
        <w:rPr>
          <w:rFonts w:ascii="仿宋" w:hAnsi="仿宋" w:cs="仿宋"/>
          <w:szCs w:val="30"/>
        </w:rPr>
        <w:t>。</w:t>
      </w:r>
      <w:r>
        <w:rPr>
          <w:rFonts w:hint="eastAsia" w:ascii="仿宋" w:hAnsi="仿宋" w:cs="仿宋"/>
          <w:szCs w:val="30"/>
        </w:rPr>
        <w:t>学位课程原则上由高级职称人员承担</w:t>
      </w:r>
      <w:r>
        <w:rPr>
          <w:rFonts w:ascii="仿宋" w:hAnsi="仿宋" w:cs="仿宋"/>
          <w:szCs w:val="30"/>
        </w:rPr>
        <w:t>，</w:t>
      </w:r>
      <w:r>
        <w:rPr>
          <w:rFonts w:hint="eastAsia" w:ascii="仿宋" w:hAnsi="仿宋" w:cs="仿宋"/>
          <w:szCs w:val="30"/>
        </w:rPr>
        <w:t>保障最优师资力量</w:t>
      </w:r>
      <w:r>
        <w:rPr>
          <w:rFonts w:ascii="仿宋" w:hAnsi="仿宋" w:cs="仿宋"/>
          <w:szCs w:val="30"/>
        </w:rPr>
        <w:t>，</w:t>
      </w:r>
      <w:r>
        <w:rPr>
          <w:rFonts w:hint="eastAsia" w:ascii="仿宋" w:hAnsi="仿宋" w:cs="仿宋"/>
          <w:szCs w:val="30"/>
        </w:rPr>
        <w:t>课程分阶段递进式教学</w:t>
      </w:r>
      <w:r>
        <w:rPr>
          <w:rFonts w:ascii="仿宋" w:hAnsi="仿宋" w:cs="仿宋"/>
          <w:szCs w:val="30"/>
        </w:rPr>
        <w:t>，</w:t>
      </w:r>
      <w:r>
        <w:rPr>
          <w:rFonts w:hint="eastAsia" w:ascii="仿宋" w:hAnsi="仿宋" w:cs="仿宋"/>
          <w:szCs w:val="30"/>
        </w:rPr>
        <w:t>课时分配合理</w:t>
      </w:r>
      <w:r>
        <w:rPr>
          <w:rFonts w:ascii="仿宋" w:hAnsi="仿宋" w:cs="仿宋"/>
          <w:szCs w:val="30"/>
        </w:rPr>
        <w:t>，</w:t>
      </w:r>
      <w:r>
        <w:rPr>
          <w:rFonts w:hint="eastAsia" w:ascii="仿宋" w:hAnsi="仿宋" w:cs="仿宋"/>
          <w:szCs w:val="30"/>
        </w:rPr>
        <w:t>教学内容在教学大纲的指导下根据实际上课内容结合导师个人特点进行授课。选修课</w:t>
      </w:r>
      <w:r>
        <w:rPr>
          <w:rFonts w:ascii="仿宋" w:hAnsi="仿宋" w:cs="仿宋"/>
          <w:szCs w:val="30"/>
        </w:rPr>
        <w:t>、</w:t>
      </w:r>
      <w:r>
        <w:rPr>
          <w:rFonts w:hint="eastAsia" w:ascii="仿宋" w:hAnsi="仿宋" w:cs="仿宋"/>
          <w:szCs w:val="30"/>
        </w:rPr>
        <w:t>课外实践环节设置合理</w:t>
      </w:r>
      <w:r>
        <w:rPr>
          <w:rFonts w:ascii="仿宋" w:hAnsi="仿宋" w:cs="仿宋"/>
          <w:szCs w:val="30"/>
        </w:rPr>
        <w:t>，</w:t>
      </w:r>
      <w:r>
        <w:rPr>
          <w:rFonts w:hint="eastAsia" w:ascii="仿宋" w:hAnsi="仿宋" w:cs="仿宋"/>
          <w:szCs w:val="30"/>
        </w:rPr>
        <w:t>研究生教学有序</w:t>
      </w:r>
      <w:r>
        <w:rPr>
          <w:rFonts w:ascii="仿宋" w:hAnsi="仿宋" w:cs="仿宋"/>
          <w:szCs w:val="30"/>
        </w:rPr>
        <w:t>，</w:t>
      </w:r>
      <w:r>
        <w:rPr>
          <w:rFonts w:hint="eastAsia" w:ascii="仿宋" w:hAnsi="仿宋" w:cs="仿宋"/>
          <w:szCs w:val="30"/>
        </w:rPr>
        <w:t>学生考勤和授课到位率都保持较高水平</w:t>
      </w:r>
      <w:r>
        <w:rPr>
          <w:rFonts w:ascii="仿宋" w:hAnsi="仿宋" w:cs="仿宋"/>
          <w:szCs w:val="30"/>
        </w:rPr>
        <w:t>。</w:t>
      </w:r>
      <w:r>
        <w:rPr>
          <w:rFonts w:hint="eastAsia" w:ascii="仿宋" w:hAnsi="仿宋" w:cs="仿宋"/>
          <w:szCs w:val="30"/>
        </w:rPr>
        <w:t>除课堂教学以外</w:t>
      </w:r>
      <w:r>
        <w:rPr>
          <w:rFonts w:ascii="仿宋" w:hAnsi="仿宋" w:cs="仿宋"/>
          <w:szCs w:val="30"/>
        </w:rPr>
        <w:t>，</w:t>
      </w:r>
      <w:r>
        <w:rPr>
          <w:rFonts w:hint="eastAsia" w:ascii="仿宋" w:hAnsi="仿宋" w:cs="仿宋"/>
          <w:szCs w:val="30"/>
        </w:rPr>
        <w:t>我院研究生教学积极聘请校外专家及学者</w:t>
      </w:r>
      <w:r>
        <w:rPr>
          <w:rFonts w:ascii="仿宋" w:hAnsi="仿宋" w:cs="仿宋"/>
          <w:szCs w:val="30"/>
        </w:rPr>
        <w:t>，</w:t>
      </w:r>
      <w:r>
        <w:rPr>
          <w:rFonts w:hint="eastAsia" w:ascii="仿宋" w:hAnsi="仿宋" w:cs="仿宋"/>
          <w:szCs w:val="30"/>
        </w:rPr>
        <w:t>开设学术专题讲座</w:t>
      </w:r>
      <w:r>
        <w:rPr>
          <w:rFonts w:ascii="仿宋" w:hAnsi="仿宋" w:cs="仿宋"/>
          <w:szCs w:val="30"/>
        </w:rPr>
        <w:t>，</w:t>
      </w:r>
      <w:r>
        <w:rPr>
          <w:rFonts w:hint="eastAsia" w:ascii="仿宋" w:hAnsi="仿宋" w:cs="仿宋"/>
          <w:szCs w:val="30"/>
        </w:rPr>
        <w:t>举办各类专业艺术展览</w:t>
      </w:r>
      <w:r>
        <w:rPr>
          <w:rFonts w:ascii="仿宋" w:hAnsi="仿宋" w:cs="仿宋"/>
          <w:szCs w:val="30"/>
        </w:rPr>
        <w:t>，</w:t>
      </w:r>
      <w:r>
        <w:rPr>
          <w:rFonts w:hint="eastAsia" w:ascii="仿宋" w:hAnsi="仿宋" w:cs="仿宋"/>
          <w:szCs w:val="30"/>
        </w:rPr>
        <w:t xml:space="preserve">开拓丰富研究生专业知识及眼界。 </w:t>
      </w:r>
    </w:p>
    <w:p>
      <w:pPr>
        <w:widowControl/>
        <w:ind w:firstLine="600"/>
        <w:rPr>
          <w:rFonts w:ascii="仿宋" w:hAnsi="仿宋" w:cs="仿宋"/>
          <w:color w:val="000000" w:themeColor="text1"/>
          <w:szCs w:val="30"/>
        </w:rPr>
      </w:pPr>
      <w:r>
        <w:rPr>
          <w:rFonts w:ascii="仿宋" w:hAnsi="仿宋" w:cs="仿宋"/>
          <w:szCs w:val="30"/>
        </w:rPr>
        <w:t>2</w:t>
      </w:r>
      <w:r>
        <w:rPr>
          <w:rFonts w:hint="eastAsia" w:ascii="仿宋" w:hAnsi="仿宋" w:cs="仿宋"/>
          <w:szCs w:val="30"/>
        </w:rPr>
        <w:t>.奖助体系</w:t>
      </w:r>
      <w:r>
        <w:rPr>
          <w:rFonts w:ascii="仿宋" w:hAnsi="仿宋" w:cs="仿宋"/>
          <w:szCs w:val="30"/>
        </w:rPr>
        <w:t>。</w:t>
      </w:r>
      <w:r>
        <w:rPr>
          <w:rFonts w:hint="eastAsia" w:ascii="仿宋" w:hAnsi="仿宋" w:cs="仿宋"/>
          <w:szCs w:val="30"/>
        </w:rPr>
        <w:t>为确保研究生的培养质量，我校大力构建研究生培养奖助体系</w:t>
      </w:r>
      <w:r>
        <w:rPr>
          <w:rFonts w:ascii="仿宋" w:hAnsi="仿宋" w:cs="仿宋"/>
          <w:szCs w:val="30"/>
        </w:rPr>
        <w:t>。</w:t>
      </w:r>
      <w:r>
        <w:rPr>
          <w:rFonts w:hint="eastAsia" w:ascii="仿宋" w:hAnsi="仿宋" w:cs="仿宋"/>
          <w:szCs w:val="30"/>
        </w:rPr>
        <w:t>本学位点研究生奖学金评比完全按照贵州大学美术学院研究生奖学金各项评比办法进行</w:t>
      </w:r>
      <w:r>
        <w:rPr>
          <w:rFonts w:ascii="仿宋" w:hAnsi="仿宋" w:cs="仿宋"/>
          <w:szCs w:val="30"/>
        </w:rPr>
        <w:t>，</w:t>
      </w:r>
      <w:r>
        <w:rPr>
          <w:rFonts w:hint="eastAsia" w:ascii="仿宋" w:hAnsi="仿宋" w:cs="仿宋"/>
          <w:szCs w:val="30"/>
        </w:rPr>
        <w:t>在此基础之上</w:t>
      </w:r>
      <w:r>
        <w:rPr>
          <w:rFonts w:ascii="仿宋" w:hAnsi="仿宋" w:cs="仿宋"/>
          <w:szCs w:val="30"/>
        </w:rPr>
        <w:t>，</w:t>
      </w:r>
      <w:r>
        <w:rPr>
          <w:rFonts w:hint="eastAsia" w:ascii="仿宋" w:hAnsi="仿宋" w:cs="仿宋"/>
          <w:szCs w:val="30"/>
        </w:rPr>
        <w:t>我院制定美术学院研究生国家奖学金评定细则、美术学院研究生奖学金评定细则具体执行。</w:t>
      </w:r>
      <w:r>
        <w:rPr>
          <w:rFonts w:hint="eastAsia" w:ascii="仿宋" w:hAnsi="仿宋" w:cs="仿宋"/>
          <w:color w:val="000000" w:themeColor="text1"/>
          <w:szCs w:val="30"/>
        </w:rPr>
        <w:t>202</w:t>
      </w:r>
      <w:r>
        <w:rPr>
          <w:rFonts w:ascii="仿宋" w:hAnsi="仿宋" w:cs="仿宋"/>
          <w:color w:val="000000" w:themeColor="text1"/>
          <w:szCs w:val="30"/>
        </w:rPr>
        <w:t>1</w:t>
      </w:r>
      <w:r>
        <w:rPr>
          <w:rFonts w:hint="eastAsia" w:ascii="仿宋" w:hAnsi="仿宋" w:cs="仿宋"/>
          <w:color w:val="000000" w:themeColor="text1"/>
          <w:szCs w:val="30"/>
        </w:rPr>
        <w:t>年</w:t>
      </w:r>
      <w:r>
        <w:rPr>
          <w:rFonts w:ascii="仿宋" w:hAnsi="仿宋" w:cs="仿宋"/>
          <w:color w:val="000000" w:themeColor="text1"/>
          <w:szCs w:val="30"/>
        </w:rPr>
        <w:t>，</w:t>
      </w:r>
      <w:r>
        <w:rPr>
          <w:rFonts w:hint="eastAsia" w:ascii="仿宋" w:hAnsi="仿宋" w:cs="仿宋"/>
          <w:color w:val="000000" w:themeColor="text1"/>
          <w:szCs w:val="30"/>
        </w:rPr>
        <w:t>本学位点共2人获国家奖学金</w:t>
      </w:r>
      <w:r>
        <w:rPr>
          <w:rFonts w:ascii="仿宋" w:hAnsi="仿宋" w:cs="仿宋"/>
          <w:color w:val="000000" w:themeColor="text1"/>
          <w:szCs w:val="30"/>
        </w:rPr>
        <w:t>，</w:t>
      </w:r>
      <w:r>
        <w:rPr>
          <w:rFonts w:hint="eastAsia" w:ascii="仿宋" w:hAnsi="仿宋" w:cs="仿宋"/>
          <w:color w:val="000000" w:themeColor="text1"/>
          <w:szCs w:val="30"/>
        </w:rPr>
        <w:t>获奖总金额4万元</w:t>
      </w:r>
      <w:r>
        <w:rPr>
          <w:rFonts w:ascii="仿宋" w:hAnsi="仿宋" w:cs="仿宋"/>
          <w:color w:val="000000" w:themeColor="text1"/>
          <w:szCs w:val="30"/>
        </w:rPr>
        <w:t>；</w:t>
      </w:r>
      <w:r>
        <w:rPr>
          <w:rFonts w:hint="eastAsia" w:ascii="仿宋" w:hAnsi="仿宋" w:cs="仿宋"/>
          <w:color w:val="000000" w:themeColor="text1"/>
          <w:szCs w:val="30"/>
        </w:rPr>
        <w:t>2021年</w:t>
      </w:r>
      <w:r>
        <w:rPr>
          <w:rFonts w:ascii="仿宋" w:hAnsi="仿宋" w:cs="仿宋"/>
          <w:color w:val="000000" w:themeColor="text1"/>
          <w:szCs w:val="30"/>
        </w:rPr>
        <w:t>，</w:t>
      </w:r>
      <w:r>
        <w:rPr>
          <w:rFonts w:hint="eastAsia" w:ascii="仿宋" w:hAnsi="仿宋" w:cs="仿宋"/>
          <w:color w:val="000000" w:themeColor="text1"/>
          <w:szCs w:val="30"/>
        </w:rPr>
        <w:t>26人获校学业奖学金</w:t>
      </w:r>
      <w:r>
        <w:rPr>
          <w:rFonts w:ascii="仿宋" w:hAnsi="仿宋" w:cs="仿宋"/>
          <w:color w:val="000000" w:themeColor="text1"/>
          <w:szCs w:val="30"/>
        </w:rPr>
        <w:t>，</w:t>
      </w:r>
      <w:r>
        <w:rPr>
          <w:rFonts w:hint="eastAsia" w:ascii="仿宋" w:hAnsi="仿宋" w:cs="仿宋"/>
          <w:color w:val="000000" w:themeColor="text1"/>
          <w:szCs w:val="30"/>
        </w:rPr>
        <w:t>获奖总金额18.2万元</w:t>
      </w:r>
      <w:r>
        <w:rPr>
          <w:rFonts w:ascii="仿宋" w:hAnsi="仿宋" w:cs="仿宋"/>
          <w:color w:val="000000" w:themeColor="text1"/>
          <w:szCs w:val="30"/>
        </w:rPr>
        <w:t>。</w:t>
      </w:r>
    </w:p>
    <w:p>
      <w:pPr>
        <w:widowControl/>
        <w:ind w:firstLine="600"/>
        <w:rPr>
          <w:rFonts w:ascii="仿宋" w:hAnsi="仿宋" w:cs="仿宋"/>
          <w:color w:val="000000" w:themeColor="text1"/>
          <w:szCs w:val="30"/>
        </w:rPr>
      </w:pPr>
      <w:r>
        <w:rPr>
          <w:rFonts w:hint="eastAsia" w:ascii="仿宋" w:hAnsi="仿宋" w:cs="仿宋"/>
          <w:color w:val="000000" w:themeColor="text1"/>
          <w:szCs w:val="30"/>
        </w:rPr>
        <w:t>（四）研究生培养、科学研究等工作取得的成绩。</w:t>
      </w:r>
    </w:p>
    <w:p>
      <w:pPr>
        <w:spacing w:line="360" w:lineRule="auto"/>
        <w:ind w:firstLine="600"/>
        <w:rPr>
          <w:rFonts w:ascii="仿宋" w:hAnsi="仿宋" w:cs="仿宋"/>
          <w:szCs w:val="30"/>
        </w:rPr>
      </w:pPr>
      <w:r>
        <w:rPr>
          <w:rFonts w:hint="eastAsia" w:ascii="仿宋" w:hAnsi="仿宋" w:cs="仿宋"/>
          <w:szCs w:val="30"/>
        </w:rPr>
        <w:t>本学位授权点严格落实国务院学位委员会、教育部、全国艺术教指委关于专业学位研究生培养要求</w:t>
      </w:r>
      <w:r>
        <w:rPr>
          <w:rFonts w:ascii="仿宋" w:hAnsi="仿宋" w:cs="仿宋"/>
          <w:szCs w:val="30"/>
        </w:rPr>
        <w:t>，</w:t>
      </w:r>
      <w:r>
        <w:rPr>
          <w:rFonts w:hint="eastAsia" w:ascii="仿宋" w:hAnsi="仿宋" w:cs="仿宋"/>
          <w:szCs w:val="30"/>
        </w:rPr>
        <w:t>培养符合国家与社会发展需求，德智体美劳全面发展的社会主义合格建设者和可靠接班人。2021年学位点研究生45人次在国家、省级各项比赛和展览中获奖。</w:t>
      </w:r>
    </w:p>
    <w:p>
      <w:pPr>
        <w:spacing w:line="360" w:lineRule="auto"/>
        <w:ind w:firstLine="600"/>
        <w:rPr>
          <w:rFonts w:ascii="黑体" w:hAnsi="黑体" w:eastAsia="黑体" w:cs="黑体"/>
          <w:bCs/>
          <w:szCs w:val="30"/>
        </w:rPr>
      </w:pPr>
      <w:r>
        <w:rPr>
          <w:rFonts w:hint="eastAsia" w:ascii="黑体" w:hAnsi="黑体" w:eastAsia="黑体" w:cs="黑体"/>
          <w:bCs/>
          <w:szCs w:val="30"/>
        </w:rPr>
        <w:t>三、学位授权点建设存在的问题</w:t>
      </w:r>
    </w:p>
    <w:p>
      <w:pPr>
        <w:widowControl/>
        <w:ind w:firstLine="600"/>
        <w:rPr>
          <w:rFonts w:ascii="仿宋" w:hAnsi="仿宋" w:cs="仿宋"/>
          <w:szCs w:val="30"/>
        </w:rPr>
      </w:pPr>
      <w:r>
        <w:rPr>
          <w:rFonts w:ascii="仿宋" w:hAnsi="仿宋" w:cs="仿宋"/>
          <w:szCs w:val="30"/>
        </w:rPr>
        <w:t>1</w:t>
      </w:r>
      <w:r>
        <w:rPr>
          <w:rFonts w:hint="eastAsia" w:ascii="仿宋" w:hAnsi="仿宋" w:cs="仿宋"/>
          <w:szCs w:val="30"/>
        </w:rPr>
        <w:t>.课程结构需进一步优化</w:t>
      </w:r>
      <w:r>
        <w:rPr>
          <w:rFonts w:ascii="仿宋" w:hAnsi="仿宋" w:cs="仿宋"/>
          <w:szCs w:val="30"/>
        </w:rPr>
        <w:t>。</w:t>
      </w:r>
      <w:r>
        <w:rPr>
          <w:rFonts w:hint="eastAsia" w:ascii="仿宋" w:hAnsi="仿宋" w:cs="仿宋"/>
          <w:szCs w:val="30"/>
        </w:rPr>
        <w:t>学科课程是保证高校学科建设以及实施的基础，目前有少部分学科课程看不出与本科课程比较的提升性</w:t>
      </w:r>
      <w:r>
        <w:rPr>
          <w:rFonts w:ascii="仿宋" w:hAnsi="仿宋" w:cs="仿宋"/>
          <w:szCs w:val="30"/>
        </w:rPr>
        <w:t>，</w:t>
      </w:r>
      <w:r>
        <w:rPr>
          <w:rFonts w:hint="eastAsia" w:ascii="仿宋" w:hAnsi="仿宋" w:cs="仿宋"/>
          <w:szCs w:val="30"/>
        </w:rPr>
        <w:t>有些课程过于形式化</w:t>
      </w:r>
      <w:r>
        <w:rPr>
          <w:rFonts w:ascii="仿宋" w:hAnsi="仿宋" w:cs="仿宋"/>
          <w:szCs w:val="30"/>
        </w:rPr>
        <w:t>；</w:t>
      </w:r>
      <w:r>
        <w:rPr>
          <w:rFonts w:hint="eastAsia" w:ascii="仿宋" w:hAnsi="仿宋" w:cs="仿宋"/>
          <w:szCs w:val="30"/>
        </w:rPr>
        <w:t>优质课程偏少</w:t>
      </w:r>
      <w:r>
        <w:rPr>
          <w:rFonts w:ascii="仿宋" w:hAnsi="仿宋" w:cs="仿宋"/>
          <w:szCs w:val="30"/>
        </w:rPr>
        <w:t>，</w:t>
      </w:r>
      <w:r>
        <w:rPr>
          <w:rFonts w:hint="eastAsia" w:ascii="仿宋" w:hAnsi="仿宋" w:cs="仿宋"/>
          <w:szCs w:val="30"/>
        </w:rPr>
        <w:t>教学质量有待进一步提高，学科的影响力和知名度有待进一步提升</w:t>
      </w:r>
      <w:r>
        <w:rPr>
          <w:rFonts w:ascii="仿宋" w:hAnsi="仿宋" w:cs="仿宋"/>
          <w:szCs w:val="30"/>
        </w:rPr>
        <w:t>。</w:t>
      </w:r>
    </w:p>
    <w:p>
      <w:pPr>
        <w:widowControl/>
        <w:ind w:firstLine="600"/>
        <w:rPr>
          <w:rFonts w:ascii="仿宋" w:hAnsi="仿宋" w:cs="仿宋"/>
          <w:szCs w:val="30"/>
        </w:rPr>
      </w:pPr>
      <w:r>
        <w:rPr>
          <w:rFonts w:ascii="仿宋" w:hAnsi="仿宋" w:cs="仿宋"/>
          <w:szCs w:val="30"/>
        </w:rPr>
        <w:t>2</w:t>
      </w:r>
      <w:r>
        <w:rPr>
          <w:rFonts w:hint="eastAsia" w:ascii="仿宋" w:hAnsi="仿宋" w:cs="仿宋"/>
          <w:szCs w:val="30"/>
        </w:rPr>
        <w:t>.学术交流质量有待进一步加强</w:t>
      </w:r>
      <w:r>
        <w:rPr>
          <w:rFonts w:ascii="仿宋" w:hAnsi="仿宋" w:cs="仿宋"/>
          <w:szCs w:val="30"/>
        </w:rPr>
        <w:t>。</w:t>
      </w:r>
      <w:r>
        <w:rPr>
          <w:rFonts w:hint="eastAsia" w:ascii="仿宋" w:hAnsi="仿宋" w:cs="仿宋"/>
          <w:szCs w:val="30"/>
        </w:rPr>
        <w:t>学术交流是促进教育教学、教育科研改革的重要举措，有利于提高师生的综合能力</w:t>
      </w:r>
      <w:r>
        <w:rPr>
          <w:rFonts w:ascii="仿宋" w:hAnsi="仿宋" w:cs="仿宋"/>
          <w:szCs w:val="30"/>
        </w:rPr>
        <w:t>，</w:t>
      </w:r>
      <w:r>
        <w:rPr>
          <w:rFonts w:hint="eastAsia" w:ascii="仿宋" w:hAnsi="仿宋" w:cs="仿宋"/>
          <w:szCs w:val="30"/>
        </w:rPr>
        <w:t>目前本学科师生国内外交流停留在局部性</w:t>
      </w:r>
      <w:r>
        <w:rPr>
          <w:rFonts w:ascii="仿宋" w:hAnsi="仿宋" w:cs="仿宋"/>
          <w:szCs w:val="30"/>
        </w:rPr>
        <w:t>、</w:t>
      </w:r>
      <w:r>
        <w:rPr>
          <w:rFonts w:hint="eastAsia" w:ascii="仿宋" w:hAnsi="仿宋" w:cs="仿宋"/>
          <w:szCs w:val="30"/>
        </w:rPr>
        <w:t>低层次范围</w:t>
      </w:r>
      <w:r>
        <w:rPr>
          <w:rFonts w:ascii="仿宋" w:hAnsi="仿宋" w:cs="仿宋"/>
          <w:szCs w:val="30"/>
        </w:rPr>
        <w:t>，</w:t>
      </w:r>
      <w:r>
        <w:rPr>
          <w:rFonts w:hint="eastAsia" w:ascii="仿宋" w:hAnsi="仿宋" w:cs="仿宋"/>
          <w:szCs w:val="30"/>
        </w:rPr>
        <w:t>交流合作的面不广</w:t>
      </w:r>
      <w:r>
        <w:rPr>
          <w:rFonts w:ascii="仿宋" w:hAnsi="仿宋" w:cs="仿宋"/>
          <w:szCs w:val="30"/>
        </w:rPr>
        <w:t>，</w:t>
      </w:r>
      <w:r>
        <w:rPr>
          <w:rFonts w:hint="eastAsia" w:ascii="仿宋" w:hAnsi="仿宋" w:cs="仿宋"/>
          <w:szCs w:val="30"/>
        </w:rPr>
        <w:t>要结合本学科点的实际，创新、构建具有自身特色的学术交流活动</w:t>
      </w:r>
      <w:r>
        <w:rPr>
          <w:rFonts w:ascii="仿宋" w:hAnsi="仿宋" w:cs="仿宋"/>
          <w:szCs w:val="30"/>
        </w:rPr>
        <w:t>。</w:t>
      </w:r>
    </w:p>
    <w:p>
      <w:pPr>
        <w:spacing w:line="360" w:lineRule="auto"/>
        <w:ind w:firstLine="600"/>
        <w:rPr>
          <w:rFonts w:ascii="黑体" w:hAnsi="黑体" w:eastAsia="黑体" w:cs="黑体"/>
          <w:bCs/>
          <w:szCs w:val="30"/>
        </w:rPr>
      </w:pPr>
      <w:r>
        <w:rPr>
          <w:rFonts w:hint="eastAsia" w:ascii="黑体" w:hAnsi="黑体" w:eastAsia="黑体" w:cs="黑体"/>
          <w:bCs/>
          <w:szCs w:val="30"/>
        </w:rPr>
        <w:t>四、学位授权点下一年度建设计划</w:t>
      </w:r>
    </w:p>
    <w:p>
      <w:pPr>
        <w:widowControl/>
        <w:ind w:firstLine="600"/>
        <w:rPr>
          <w:rFonts w:ascii="仿宋" w:hAnsi="仿宋" w:cs="仿宋"/>
          <w:szCs w:val="30"/>
        </w:rPr>
      </w:pPr>
      <w:r>
        <w:rPr>
          <w:rFonts w:ascii="仿宋" w:hAnsi="仿宋" w:cs="仿宋"/>
          <w:szCs w:val="30"/>
        </w:rPr>
        <w:t>1</w:t>
      </w:r>
      <w:r>
        <w:rPr>
          <w:rFonts w:hint="eastAsia" w:ascii="仿宋" w:hAnsi="仿宋" w:cs="仿宋"/>
          <w:szCs w:val="30"/>
        </w:rPr>
        <w:t>.本学位点高度重视学术交流工作，因疫情影响学位点教师与学生参加国内外交流学习和国际会议情况较少</w:t>
      </w:r>
      <w:r>
        <w:rPr>
          <w:rFonts w:ascii="仿宋" w:hAnsi="仿宋" w:cs="仿宋"/>
          <w:szCs w:val="30"/>
        </w:rPr>
        <w:t>。</w:t>
      </w:r>
      <w:r>
        <w:rPr>
          <w:rFonts w:hint="eastAsia" w:ascii="仿宋" w:hAnsi="仿宋" w:cs="仿宋"/>
          <w:szCs w:val="30"/>
        </w:rPr>
        <w:t>待疫情缓解，将积极支持教师学生参加国际、国内学术交流，并策划学术交流活动，使其能够覆盖师生的各个层面</w:t>
      </w:r>
      <w:r>
        <w:rPr>
          <w:rFonts w:ascii="仿宋" w:hAnsi="仿宋" w:cs="仿宋"/>
          <w:szCs w:val="30"/>
        </w:rPr>
        <w:t>。</w:t>
      </w:r>
    </w:p>
    <w:p>
      <w:pPr>
        <w:widowControl/>
        <w:ind w:firstLine="600"/>
      </w:pPr>
      <w:r>
        <w:rPr>
          <w:rFonts w:ascii="仿宋" w:hAnsi="仿宋" w:cs="仿宋"/>
          <w:szCs w:val="30"/>
        </w:rPr>
        <w:t>2</w:t>
      </w:r>
      <w:r>
        <w:rPr>
          <w:rFonts w:hint="eastAsia" w:ascii="仿宋" w:hAnsi="仿宋" w:cs="仿宋"/>
          <w:szCs w:val="30"/>
        </w:rPr>
        <w:t>.加强学术规范和学术道德教育，营造风清气正的学术风气。严格各培养过程管理，建立学位论文开题报告——预答辩——院内匿名送审——学位论文检测——学位论文外审</w:t>
      </w:r>
      <w:r>
        <w:rPr>
          <w:rFonts w:ascii="仿宋" w:hAnsi="仿宋" w:cs="仿宋"/>
          <w:szCs w:val="30"/>
        </w:rPr>
        <w:t>——</w:t>
      </w:r>
      <w:r>
        <w:rPr>
          <w:rFonts w:hint="eastAsia" w:ascii="仿宋" w:hAnsi="仿宋" w:cs="仿宋"/>
          <w:szCs w:val="30"/>
        </w:rPr>
        <w:t>学位论文答辩环环紧扣的培养和监督机制，严格学业档案管理制度。</w:t>
      </w:r>
    </w:p>
    <w:sectPr>
      <w:footerReference r:id="rId10" w:type="first"/>
      <w:footerReference r:id="rId9" w:type="default"/>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Wingdings 2">
    <w:altName w:val="Wingdings"/>
    <w:panose1 w:val="05020102010507070707"/>
    <w:charset w:val="00"/>
    <w:family w:val="decorative"/>
    <w:pitch w:val="default"/>
    <w:sig w:usb0="00000000" w:usb1="00000000" w:usb2="00000000" w:usb3="00000000" w:csb0="8000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4"/>
      </w:rPr>
    </w:pPr>
    <w:r>
      <w:fldChar w:fldCharType="begin"/>
    </w:r>
    <w:r>
      <w:rPr>
        <w:rStyle w:val="24"/>
      </w:rPr>
      <w:instrText xml:space="preserve">PAGE  </w:instrText>
    </w:r>
    <w:r>
      <w:fldChar w:fldCharType="end"/>
    </w:r>
  </w:p>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文本框 1025" o:spid="_x0000_s1026" o:spt="202" type="#_x0000_t202" style="position:absolute;left:0pt;margin-top:0pt;height:18.3pt;width:37.6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ind w:firstLine="600"/>
                </w:pPr>
                <w:r>
                  <w:fldChar w:fldCharType="begin"/>
                </w:r>
                <w:r>
                  <w:instrText xml:space="preserve">PAGE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文本框 1026" o:spid="_x0000_s1025" o:spt="202" type="#_x0000_t202" style="position:absolute;left:0pt;margin-top:0pt;height:18.3pt;width:37.65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ind w:firstLine="60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0781"/>
    <w:rsid w:val="000150A9"/>
    <w:rsid w:val="00030D0C"/>
    <w:rsid w:val="00031CCE"/>
    <w:rsid w:val="00032D78"/>
    <w:rsid w:val="000539EC"/>
    <w:rsid w:val="00054AAF"/>
    <w:rsid w:val="00056673"/>
    <w:rsid w:val="00056CCF"/>
    <w:rsid w:val="00064853"/>
    <w:rsid w:val="0006715D"/>
    <w:rsid w:val="0007206D"/>
    <w:rsid w:val="00073D5A"/>
    <w:rsid w:val="0007487B"/>
    <w:rsid w:val="000933B3"/>
    <w:rsid w:val="00096C56"/>
    <w:rsid w:val="000A1B25"/>
    <w:rsid w:val="000A57EC"/>
    <w:rsid w:val="000B3E7E"/>
    <w:rsid w:val="000D4C27"/>
    <w:rsid w:val="000E0303"/>
    <w:rsid w:val="000E7839"/>
    <w:rsid w:val="000F13C8"/>
    <w:rsid w:val="001117BD"/>
    <w:rsid w:val="00111A56"/>
    <w:rsid w:val="00112A28"/>
    <w:rsid w:val="001249AE"/>
    <w:rsid w:val="0013317A"/>
    <w:rsid w:val="001419D7"/>
    <w:rsid w:val="00162D2C"/>
    <w:rsid w:val="0016421D"/>
    <w:rsid w:val="0016694A"/>
    <w:rsid w:val="001770AE"/>
    <w:rsid w:val="001D0781"/>
    <w:rsid w:val="001E0236"/>
    <w:rsid w:val="001F7BF5"/>
    <w:rsid w:val="0020260A"/>
    <w:rsid w:val="002121AF"/>
    <w:rsid w:val="002136D9"/>
    <w:rsid w:val="00216857"/>
    <w:rsid w:val="00220379"/>
    <w:rsid w:val="00224045"/>
    <w:rsid w:val="00251DF7"/>
    <w:rsid w:val="00252A2E"/>
    <w:rsid w:val="0026136D"/>
    <w:rsid w:val="0026591F"/>
    <w:rsid w:val="0027034F"/>
    <w:rsid w:val="002835C5"/>
    <w:rsid w:val="00283ED7"/>
    <w:rsid w:val="002929DB"/>
    <w:rsid w:val="002A0ED1"/>
    <w:rsid w:val="00310A97"/>
    <w:rsid w:val="0031172C"/>
    <w:rsid w:val="003644A1"/>
    <w:rsid w:val="0038477F"/>
    <w:rsid w:val="003A39D8"/>
    <w:rsid w:val="003C2094"/>
    <w:rsid w:val="003C410A"/>
    <w:rsid w:val="003C7D5C"/>
    <w:rsid w:val="003D1AAF"/>
    <w:rsid w:val="003D6D0E"/>
    <w:rsid w:val="003E140A"/>
    <w:rsid w:val="003E31E8"/>
    <w:rsid w:val="003E454C"/>
    <w:rsid w:val="004019E1"/>
    <w:rsid w:val="00424AC6"/>
    <w:rsid w:val="0043388A"/>
    <w:rsid w:val="004416D9"/>
    <w:rsid w:val="004436D7"/>
    <w:rsid w:val="00467C27"/>
    <w:rsid w:val="00474AA7"/>
    <w:rsid w:val="00486868"/>
    <w:rsid w:val="00487879"/>
    <w:rsid w:val="004907E2"/>
    <w:rsid w:val="00491B7B"/>
    <w:rsid w:val="0049481D"/>
    <w:rsid w:val="004A5C9A"/>
    <w:rsid w:val="004C59CD"/>
    <w:rsid w:val="004D2658"/>
    <w:rsid w:val="004D588F"/>
    <w:rsid w:val="004D6EEF"/>
    <w:rsid w:val="004D7AAC"/>
    <w:rsid w:val="004F141B"/>
    <w:rsid w:val="00502DD4"/>
    <w:rsid w:val="00511E50"/>
    <w:rsid w:val="00514822"/>
    <w:rsid w:val="00520CE7"/>
    <w:rsid w:val="005218AE"/>
    <w:rsid w:val="005372F0"/>
    <w:rsid w:val="005934EA"/>
    <w:rsid w:val="005A508B"/>
    <w:rsid w:val="005A6E34"/>
    <w:rsid w:val="005B0967"/>
    <w:rsid w:val="005F17B5"/>
    <w:rsid w:val="005F205C"/>
    <w:rsid w:val="00604614"/>
    <w:rsid w:val="0062407F"/>
    <w:rsid w:val="00656EB4"/>
    <w:rsid w:val="00662C7E"/>
    <w:rsid w:val="00693542"/>
    <w:rsid w:val="006B2CCF"/>
    <w:rsid w:val="006C71DB"/>
    <w:rsid w:val="006D3F94"/>
    <w:rsid w:val="00700CA1"/>
    <w:rsid w:val="00731C70"/>
    <w:rsid w:val="007364C3"/>
    <w:rsid w:val="007466ED"/>
    <w:rsid w:val="00751E49"/>
    <w:rsid w:val="00752A5B"/>
    <w:rsid w:val="00755755"/>
    <w:rsid w:val="00756D34"/>
    <w:rsid w:val="00777722"/>
    <w:rsid w:val="007A685C"/>
    <w:rsid w:val="007C1D9E"/>
    <w:rsid w:val="007D1BBB"/>
    <w:rsid w:val="007E7674"/>
    <w:rsid w:val="00810EA8"/>
    <w:rsid w:val="008142EC"/>
    <w:rsid w:val="008179B0"/>
    <w:rsid w:val="0084105B"/>
    <w:rsid w:val="00842F20"/>
    <w:rsid w:val="0086154D"/>
    <w:rsid w:val="00864526"/>
    <w:rsid w:val="00873975"/>
    <w:rsid w:val="0087633B"/>
    <w:rsid w:val="008A0869"/>
    <w:rsid w:val="008A7C93"/>
    <w:rsid w:val="008C30AC"/>
    <w:rsid w:val="008E1CD9"/>
    <w:rsid w:val="008E4482"/>
    <w:rsid w:val="008F6BEC"/>
    <w:rsid w:val="008F7356"/>
    <w:rsid w:val="00906BC8"/>
    <w:rsid w:val="009134E1"/>
    <w:rsid w:val="00916A1F"/>
    <w:rsid w:val="00923914"/>
    <w:rsid w:val="0092693C"/>
    <w:rsid w:val="009349E0"/>
    <w:rsid w:val="00940F9D"/>
    <w:rsid w:val="00960A47"/>
    <w:rsid w:val="00964802"/>
    <w:rsid w:val="0097432E"/>
    <w:rsid w:val="00976BE7"/>
    <w:rsid w:val="0099465D"/>
    <w:rsid w:val="009D4BAD"/>
    <w:rsid w:val="009E3243"/>
    <w:rsid w:val="009F20D6"/>
    <w:rsid w:val="009F5B64"/>
    <w:rsid w:val="00A0304F"/>
    <w:rsid w:val="00A03326"/>
    <w:rsid w:val="00A06111"/>
    <w:rsid w:val="00A11E01"/>
    <w:rsid w:val="00A14C61"/>
    <w:rsid w:val="00A32373"/>
    <w:rsid w:val="00A42513"/>
    <w:rsid w:val="00A53519"/>
    <w:rsid w:val="00A64DDB"/>
    <w:rsid w:val="00A9095E"/>
    <w:rsid w:val="00A90986"/>
    <w:rsid w:val="00AA267D"/>
    <w:rsid w:val="00AC2914"/>
    <w:rsid w:val="00AD35A8"/>
    <w:rsid w:val="00AD443D"/>
    <w:rsid w:val="00B13D11"/>
    <w:rsid w:val="00B27821"/>
    <w:rsid w:val="00B356EB"/>
    <w:rsid w:val="00B7327F"/>
    <w:rsid w:val="00B73DEA"/>
    <w:rsid w:val="00BA450D"/>
    <w:rsid w:val="00BC6409"/>
    <w:rsid w:val="00BE0CE4"/>
    <w:rsid w:val="00C22A10"/>
    <w:rsid w:val="00C24F9B"/>
    <w:rsid w:val="00C35C29"/>
    <w:rsid w:val="00C56702"/>
    <w:rsid w:val="00C5673A"/>
    <w:rsid w:val="00C84FCD"/>
    <w:rsid w:val="00C93694"/>
    <w:rsid w:val="00CA6BD2"/>
    <w:rsid w:val="00CA7F7B"/>
    <w:rsid w:val="00CC149D"/>
    <w:rsid w:val="00CC35ED"/>
    <w:rsid w:val="00CD1DE8"/>
    <w:rsid w:val="00CD7DA2"/>
    <w:rsid w:val="00D21ED8"/>
    <w:rsid w:val="00D239E6"/>
    <w:rsid w:val="00D2527E"/>
    <w:rsid w:val="00D314B6"/>
    <w:rsid w:val="00D32BAD"/>
    <w:rsid w:val="00D42F2C"/>
    <w:rsid w:val="00D43FBD"/>
    <w:rsid w:val="00D519A5"/>
    <w:rsid w:val="00D875E1"/>
    <w:rsid w:val="00D87678"/>
    <w:rsid w:val="00DB10D7"/>
    <w:rsid w:val="00DC49C9"/>
    <w:rsid w:val="00DF06B0"/>
    <w:rsid w:val="00DF415F"/>
    <w:rsid w:val="00DF6A4E"/>
    <w:rsid w:val="00E0386C"/>
    <w:rsid w:val="00E078F4"/>
    <w:rsid w:val="00E24F8B"/>
    <w:rsid w:val="00E30100"/>
    <w:rsid w:val="00E42121"/>
    <w:rsid w:val="00E438E8"/>
    <w:rsid w:val="00E52BF5"/>
    <w:rsid w:val="00E66B0E"/>
    <w:rsid w:val="00E95AD2"/>
    <w:rsid w:val="00EA106E"/>
    <w:rsid w:val="00EA155A"/>
    <w:rsid w:val="00EA7B65"/>
    <w:rsid w:val="00EB1D3B"/>
    <w:rsid w:val="00EB67AE"/>
    <w:rsid w:val="00EE046B"/>
    <w:rsid w:val="00EF0F13"/>
    <w:rsid w:val="00F37227"/>
    <w:rsid w:val="00F72D06"/>
    <w:rsid w:val="00F747EE"/>
    <w:rsid w:val="00F87A51"/>
    <w:rsid w:val="00FB6D0D"/>
    <w:rsid w:val="00FE5881"/>
    <w:rsid w:val="032738A8"/>
    <w:rsid w:val="0A7D5DAA"/>
    <w:rsid w:val="0B1A5D6E"/>
    <w:rsid w:val="0FC02F00"/>
    <w:rsid w:val="1FC750D4"/>
    <w:rsid w:val="23944C5A"/>
    <w:rsid w:val="2FEE4CB6"/>
    <w:rsid w:val="33AB67BA"/>
    <w:rsid w:val="360A1785"/>
    <w:rsid w:val="36DE55B1"/>
    <w:rsid w:val="37717227"/>
    <w:rsid w:val="37EA66E1"/>
    <w:rsid w:val="39232BAD"/>
    <w:rsid w:val="3C4C3B73"/>
    <w:rsid w:val="471371A3"/>
    <w:rsid w:val="4CDB4C83"/>
    <w:rsid w:val="50C37545"/>
    <w:rsid w:val="526E6856"/>
    <w:rsid w:val="6E59732E"/>
    <w:rsid w:val="708A62F6"/>
    <w:rsid w:val="78715FC4"/>
    <w:rsid w:val="7BCEA8A5"/>
    <w:rsid w:val="7C3A4041"/>
    <w:rsid w:val="7C575E12"/>
    <w:rsid w:val="7D193A97"/>
    <w:rsid w:val="F6FBC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nhideWhenUsed="0" w:uiPriority="0" w:name="toc 4"/>
    <w:lsdException w:unhideWhenUsed="0" w:uiPriority="0" w:name="toc 5"/>
    <w:lsdException w:unhideWhenUsed="0" w:uiPriority="0" w:name="toc 6"/>
    <w:lsdException w:unhideWhenUsed="0" w:uiPriority="0" w:name="toc 7"/>
    <w:lsdException w:qFormat="1" w:unhideWhenUsed="0" w:uiPriority="0" w:name="toc 8"/>
    <w:lsdException w:unhideWhenUsed="0" w:uiPriority="0" w:name="toc 9"/>
    <w:lsdException w:uiPriority="0" w:name="Normal Indent"/>
    <w:lsdException w:uiPriority="0" w:name="footnote text"/>
    <w:lsdException w:qFormat="1"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 w:cs="Times New Roman"/>
      <w:kern w:val="2"/>
      <w:sz w:val="30"/>
      <w:szCs w:val="24"/>
      <w:lang w:val="en-US" w:eastAsia="zh-CN" w:bidi="ar-SA"/>
    </w:rPr>
  </w:style>
  <w:style w:type="paragraph" w:styleId="2">
    <w:name w:val="heading 3"/>
    <w:basedOn w:val="1"/>
    <w:next w:val="1"/>
    <w:qFormat/>
    <w:uiPriority w:val="9"/>
    <w:pPr>
      <w:spacing w:line="600" w:lineRule="exact"/>
      <w:outlineLvl w:val="2"/>
    </w:pPr>
    <w:rPr>
      <w:rFonts w:ascii="黑体" w:hAnsi="黑体" w:eastAsia="黑体"/>
      <w:color w:val="000000"/>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toc 7"/>
    <w:basedOn w:val="1"/>
    <w:next w:val="1"/>
    <w:semiHidden/>
    <w:uiPriority w:val="0"/>
    <w:pPr>
      <w:ind w:left="1260"/>
      <w:jc w:val="left"/>
    </w:pPr>
    <w:rPr>
      <w:rFonts w:ascii="Times New Roman" w:hAnsi="Times New Roman"/>
      <w:sz w:val="18"/>
      <w:szCs w:val="18"/>
    </w:rPr>
  </w:style>
  <w:style w:type="paragraph" w:styleId="4">
    <w:name w:val="annotation text"/>
    <w:basedOn w:val="1"/>
    <w:link w:val="33"/>
    <w:semiHidden/>
    <w:qFormat/>
    <w:uiPriority w:val="0"/>
    <w:pPr>
      <w:jc w:val="left"/>
    </w:pPr>
    <w:rPr>
      <w:kern w:val="0"/>
      <w:sz w:val="20"/>
    </w:rPr>
  </w:style>
  <w:style w:type="paragraph" w:styleId="5">
    <w:name w:val="Body Text"/>
    <w:basedOn w:val="1"/>
    <w:link w:val="30"/>
    <w:uiPriority w:val="0"/>
    <w:pPr>
      <w:snapToGrid w:val="0"/>
      <w:spacing w:line="300" w:lineRule="auto"/>
    </w:pPr>
    <w:rPr>
      <w:rFonts w:eastAsia="黑体"/>
      <w:kern w:val="0"/>
      <w:sz w:val="24"/>
      <w:szCs w:val="20"/>
    </w:rPr>
  </w:style>
  <w:style w:type="paragraph" w:styleId="6">
    <w:name w:val="toc 5"/>
    <w:basedOn w:val="1"/>
    <w:next w:val="1"/>
    <w:semiHidden/>
    <w:uiPriority w:val="0"/>
    <w:pPr>
      <w:ind w:left="840"/>
      <w:jc w:val="left"/>
    </w:pPr>
    <w:rPr>
      <w:rFonts w:ascii="Times New Roman" w:hAnsi="Times New Roman"/>
      <w:sz w:val="18"/>
      <w:szCs w:val="18"/>
    </w:rPr>
  </w:style>
  <w:style w:type="paragraph" w:styleId="7">
    <w:name w:val="toc 3"/>
    <w:basedOn w:val="1"/>
    <w:next w:val="1"/>
    <w:semiHidden/>
    <w:qFormat/>
    <w:uiPriority w:val="0"/>
    <w:pPr>
      <w:ind w:left="420"/>
      <w:jc w:val="left"/>
    </w:pPr>
    <w:rPr>
      <w:rFonts w:ascii="Times New Roman" w:hAnsi="Times New Roman"/>
      <w:i/>
      <w:iCs/>
      <w:sz w:val="20"/>
      <w:szCs w:val="20"/>
    </w:rPr>
  </w:style>
  <w:style w:type="paragraph" w:styleId="8">
    <w:name w:val="toc 8"/>
    <w:basedOn w:val="1"/>
    <w:next w:val="1"/>
    <w:semiHidden/>
    <w:qFormat/>
    <w:uiPriority w:val="0"/>
    <w:pPr>
      <w:ind w:left="1470"/>
      <w:jc w:val="left"/>
    </w:pPr>
    <w:rPr>
      <w:rFonts w:ascii="Times New Roman" w:hAnsi="Times New Roman"/>
      <w:sz w:val="18"/>
      <w:szCs w:val="18"/>
    </w:rPr>
  </w:style>
  <w:style w:type="paragraph" w:styleId="9">
    <w:name w:val="Date"/>
    <w:basedOn w:val="1"/>
    <w:next w:val="1"/>
    <w:uiPriority w:val="0"/>
    <w:pPr>
      <w:ind w:left="100" w:leftChars="2500"/>
    </w:pPr>
  </w:style>
  <w:style w:type="paragraph" w:styleId="10">
    <w:name w:val="Balloon Text"/>
    <w:basedOn w:val="1"/>
    <w:link w:val="35"/>
    <w:semiHidden/>
    <w:uiPriority w:val="0"/>
    <w:rPr>
      <w:sz w:val="18"/>
      <w:szCs w:val="18"/>
    </w:rPr>
  </w:style>
  <w:style w:type="paragraph" w:styleId="11">
    <w:name w:val="footer"/>
    <w:basedOn w:val="1"/>
    <w:link w:val="34"/>
    <w:uiPriority w:val="0"/>
    <w:pPr>
      <w:tabs>
        <w:tab w:val="center" w:pos="4153"/>
        <w:tab w:val="right" w:pos="8306"/>
      </w:tabs>
      <w:snapToGrid w:val="0"/>
      <w:jc w:val="left"/>
    </w:pPr>
    <w:rPr>
      <w:sz w:val="18"/>
      <w:szCs w:val="18"/>
    </w:rPr>
  </w:style>
  <w:style w:type="paragraph" w:styleId="12">
    <w:name w:val="header"/>
    <w:basedOn w:val="1"/>
    <w:link w:val="29"/>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iPriority w:val="0"/>
    <w:pPr>
      <w:spacing w:before="120" w:after="120"/>
      <w:jc w:val="left"/>
    </w:pPr>
    <w:rPr>
      <w:rFonts w:ascii="Times New Roman" w:hAnsi="Times New Roman"/>
      <w:b/>
      <w:bCs/>
      <w:caps/>
      <w:sz w:val="20"/>
      <w:szCs w:val="20"/>
    </w:rPr>
  </w:style>
  <w:style w:type="paragraph" w:styleId="14">
    <w:name w:val="toc 4"/>
    <w:basedOn w:val="1"/>
    <w:next w:val="1"/>
    <w:semiHidden/>
    <w:uiPriority w:val="0"/>
    <w:pPr>
      <w:ind w:left="630"/>
      <w:jc w:val="left"/>
    </w:pPr>
    <w:rPr>
      <w:rFonts w:ascii="Times New Roman" w:hAnsi="Times New Roman"/>
      <w:sz w:val="18"/>
      <w:szCs w:val="18"/>
    </w:rPr>
  </w:style>
  <w:style w:type="paragraph" w:styleId="15">
    <w:name w:val="toc 6"/>
    <w:basedOn w:val="1"/>
    <w:next w:val="1"/>
    <w:semiHidden/>
    <w:uiPriority w:val="0"/>
    <w:pPr>
      <w:ind w:left="1050"/>
      <w:jc w:val="left"/>
    </w:pPr>
    <w:rPr>
      <w:rFonts w:ascii="Times New Roman" w:hAnsi="Times New Roman"/>
      <w:sz w:val="18"/>
      <w:szCs w:val="18"/>
    </w:rPr>
  </w:style>
  <w:style w:type="paragraph" w:styleId="16">
    <w:name w:val="toc 2"/>
    <w:basedOn w:val="1"/>
    <w:next w:val="1"/>
    <w:semiHidden/>
    <w:uiPriority w:val="0"/>
    <w:pPr>
      <w:ind w:left="210"/>
      <w:jc w:val="left"/>
    </w:pPr>
    <w:rPr>
      <w:rFonts w:ascii="Times New Roman" w:hAnsi="Times New Roman"/>
      <w:smallCaps/>
      <w:sz w:val="20"/>
      <w:szCs w:val="20"/>
    </w:rPr>
  </w:style>
  <w:style w:type="paragraph" w:styleId="17">
    <w:name w:val="toc 9"/>
    <w:basedOn w:val="1"/>
    <w:next w:val="1"/>
    <w:semiHidden/>
    <w:uiPriority w:val="0"/>
    <w:pPr>
      <w:ind w:left="1680"/>
      <w:jc w:val="left"/>
    </w:pPr>
    <w:rPr>
      <w:rFonts w:ascii="Times New Roman" w:hAnsi="Times New Roman"/>
      <w:sz w:val="18"/>
      <w:szCs w:val="18"/>
    </w:rPr>
  </w:style>
  <w:style w:type="paragraph" w:styleId="1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9">
    <w:name w:val="Normal (Web)"/>
    <w:basedOn w:val="1"/>
    <w:uiPriority w:val="0"/>
    <w:pPr>
      <w:widowControl/>
      <w:jc w:val="left"/>
    </w:pPr>
    <w:rPr>
      <w:rFonts w:ascii="宋体" w:hAnsi="宋体" w:cs="宋体"/>
      <w:kern w:val="0"/>
      <w:sz w:val="24"/>
    </w:rPr>
  </w:style>
  <w:style w:type="paragraph" w:styleId="20">
    <w:name w:val="annotation subject"/>
    <w:basedOn w:val="4"/>
    <w:next w:val="4"/>
    <w:link w:val="31"/>
    <w:semiHidden/>
    <w:uiPriority w:val="0"/>
    <w:rPr>
      <w:b/>
      <w:bCs/>
    </w:rPr>
  </w:style>
  <w:style w:type="table" w:styleId="22">
    <w:name w:val="Table Grid"/>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Emphasis"/>
    <w:basedOn w:val="23"/>
    <w:qFormat/>
    <w:uiPriority w:val="20"/>
    <w:rPr>
      <w:i/>
      <w:iCs/>
    </w:rPr>
  </w:style>
  <w:style w:type="character" w:styleId="26">
    <w:name w:val="annotation reference"/>
    <w:basedOn w:val="23"/>
    <w:semiHidden/>
    <w:uiPriority w:val="0"/>
    <w:rPr>
      <w:sz w:val="21"/>
    </w:rPr>
  </w:style>
  <w:style w:type="paragraph" w:customStyle="1" w:styleId="27">
    <w:name w:val="标准"/>
    <w:basedOn w:val="1"/>
    <w:uiPriority w:val="0"/>
    <w:pPr>
      <w:widowControl/>
      <w:adjustRightInd w:val="0"/>
      <w:spacing w:before="120" w:after="120" w:line="312" w:lineRule="atLeast"/>
      <w:jc w:val="left"/>
    </w:pPr>
    <w:rPr>
      <w:rFonts w:ascii="宋体" w:hAnsi="Times New Roman"/>
      <w:kern w:val="0"/>
      <w:sz w:val="22"/>
      <w:szCs w:val="20"/>
    </w:rPr>
  </w:style>
  <w:style w:type="paragraph" w:customStyle="1" w:styleId="28">
    <w:name w:val="列表段落1"/>
    <w:basedOn w:val="1"/>
    <w:uiPriority w:val="0"/>
    <w:pPr>
      <w:ind w:firstLine="420"/>
    </w:pPr>
  </w:style>
  <w:style w:type="character" w:customStyle="1" w:styleId="29">
    <w:name w:val="页眉 字符"/>
    <w:link w:val="12"/>
    <w:locked/>
    <w:uiPriority w:val="0"/>
    <w:rPr>
      <w:rFonts w:ascii="Calibri" w:hAnsi="Calibri" w:eastAsia="宋体"/>
      <w:kern w:val="2"/>
      <w:sz w:val="18"/>
      <w:szCs w:val="18"/>
      <w:lang w:val="en-US" w:eastAsia="zh-CN" w:bidi="ar-SA"/>
    </w:rPr>
  </w:style>
  <w:style w:type="character" w:customStyle="1" w:styleId="30">
    <w:name w:val="正文文本 字符"/>
    <w:link w:val="5"/>
    <w:semiHidden/>
    <w:locked/>
    <w:uiPriority w:val="0"/>
    <w:rPr>
      <w:rFonts w:ascii="Calibri" w:hAnsi="Calibri" w:eastAsia="黑体"/>
      <w:sz w:val="24"/>
      <w:lang w:val="en-US" w:eastAsia="zh-CN" w:bidi="ar-SA"/>
    </w:rPr>
  </w:style>
  <w:style w:type="character" w:customStyle="1" w:styleId="31">
    <w:name w:val="批注主题 字符"/>
    <w:link w:val="20"/>
    <w:semiHidden/>
    <w:locked/>
    <w:uiPriority w:val="0"/>
    <w:rPr>
      <w:rFonts w:ascii="Calibri" w:hAnsi="Calibri" w:eastAsia="宋体"/>
      <w:b/>
      <w:bCs/>
      <w:szCs w:val="24"/>
      <w:lang w:val="en-US" w:eastAsia="zh-CN" w:bidi="ar-SA"/>
    </w:rPr>
  </w:style>
  <w:style w:type="character" w:customStyle="1" w:styleId="32">
    <w:name w:val="fontstyle01"/>
    <w:basedOn w:val="23"/>
    <w:uiPriority w:val="0"/>
    <w:rPr>
      <w:rFonts w:hint="default" w:ascii="仿宋" w:hAnsi="仿宋"/>
      <w:color w:val="000000"/>
      <w:sz w:val="32"/>
      <w:szCs w:val="32"/>
    </w:rPr>
  </w:style>
  <w:style w:type="character" w:customStyle="1" w:styleId="33">
    <w:name w:val="批注文字 字符"/>
    <w:link w:val="4"/>
    <w:semiHidden/>
    <w:locked/>
    <w:uiPriority w:val="0"/>
    <w:rPr>
      <w:rFonts w:ascii="Calibri" w:hAnsi="Calibri" w:eastAsia="宋体"/>
      <w:szCs w:val="24"/>
      <w:lang w:val="en-US" w:eastAsia="zh-CN" w:bidi="ar-SA"/>
    </w:rPr>
  </w:style>
  <w:style w:type="character" w:customStyle="1" w:styleId="34">
    <w:name w:val="页脚 字符"/>
    <w:link w:val="11"/>
    <w:locked/>
    <w:uiPriority w:val="0"/>
    <w:rPr>
      <w:rFonts w:ascii="Calibri" w:hAnsi="Calibri" w:eastAsia="宋体"/>
      <w:kern w:val="2"/>
      <w:sz w:val="18"/>
      <w:szCs w:val="18"/>
      <w:lang w:val="en-US" w:eastAsia="zh-CN" w:bidi="ar-SA"/>
    </w:rPr>
  </w:style>
  <w:style w:type="character" w:customStyle="1" w:styleId="35">
    <w:name w:val="批注框文本 字符"/>
    <w:link w:val="10"/>
    <w:semiHidden/>
    <w:locked/>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457</Words>
  <Characters>2606</Characters>
  <Lines>21</Lines>
  <Paragraphs>6</Paragraphs>
  <TotalTime>17</TotalTime>
  <ScaleCrop>false</ScaleCrop>
  <LinksUpToDate>false</LinksUpToDate>
  <CharactersWithSpaces>3057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2022-04-25T07:24:00Z</dcterms:created>
  <dc:creator>Administrator</dc:creator>
  <cp:lastModifiedBy>若比</cp:lastModifiedBy>
  <cp:lastPrinted>2019-03-11T00:47:00Z</cp:lastPrinted>
  <dcterms:modified xsi:type="dcterms:W3CDTF">2022-04-29T15:10:35Z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E6C42C1C82154E60A30D5DCA767EFE0F</vt:lpwstr>
  </property>
</Properties>
</file>